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400C" w14:textId="2B33336A" w:rsidR="004A5ABA" w:rsidRDefault="004A5ABA" w:rsidP="004A5AB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l-GR"/>
        </w:rPr>
        <w:drawing>
          <wp:inline distT="0" distB="0" distL="0" distR="0" wp14:anchorId="70AB0F05" wp14:editId="6D6C13C5">
            <wp:extent cx="1628775" cy="1209675"/>
            <wp:effectExtent l="19050" t="0" r="9525" b="0"/>
            <wp:docPr id="6" name="Εικόνα 6" descr="C:\Users\user\Desktop\παγκοσμσια ημερα διαβητη\Endokrinologiki_logo_GR[6211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παγκοσμσια ημερα διαβητη\Endokrinologiki_logo_GR[62118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</w:t>
      </w:r>
      <w:r w:rsidR="006E3673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63F6E91" wp14:editId="58A774A8">
            <wp:extent cx="1133475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2A819036" wp14:editId="478631CC">
            <wp:extent cx="1762125" cy="1238250"/>
            <wp:effectExtent l="19050" t="0" r="9525" b="0"/>
            <wp:docPr id="14" name="Εικόνα 14" descr="Ελληνική Διαβητολογική Εταιρεία: Οδηγίες προστασίας των ατόμων με Σακχαρώδη  Διαβήτη από τον κορωνοϊό - Περιφέρει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Ελληνική Διαβητολογική Εταιρεία: Οδηγίες προστασίας των ατόμων με Σακχαρώδη  Διαβήτη από τον κορωνοϊό - Περιφέρεια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8C108" w14:textId="77777777" w:rsidR="004A5ABA" w:rsidRDefault="004A5ABA" w:rsidP="00F145B2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</w:p>
    <w:p w14:paraId="33224459" w14:textId="77777777" w:rsidR="0072047C" w:rsidRPr="004A5ABA" w:rsidRDefault="004835BA" w:rsidP="00F145B2">
      <w:pPr>
        <w:ind w:left="720" w:hanging="36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A5ABA">
        <w:rPr>
          <w:rFonts w:cstheme="minorHAnsi"/>
          <w:b/>
          <w:bCs/>
          <w:sz w:val="28"/>
          <w:szCs w:val="28"/>
          <w:u w:val="single"/>
        </w:rPr>
        <w:t>ΔΕΛΤΙΟ ΤΥΠΟΥ</w:t>
      </w:r>
    </w:p>
    <w:p w14:paraId="44A4C826" w14:textId="77777777" w:rsidR="00C261A7" w:rsidRDefault="00C261A7" w:rsidP="00F145B2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</w:p>
    <w:p w14:paraId="009F2E07" w14:textId="77777777" w:rsidR="00F145B2" w:rsidRDefault="0072047C" w:rsidP="00F145B2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 Παγκόσμια Ημέρα Σακχαρώδη Διαβήτη</w:t>
      </w:r>
    </w:p>
    <w:p w14:paraId="75B57C4F" w14:textId="77777777" w:rsidR="004835BA" w:rsidRPr="00C261A7" w:rsidRDefault="004835BA" w:rsidP="00F145B2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(14 Νοεμβρίου)</w:t>
      </w:r>
    </w:p>
    <w:p w14:paraId="4E6EE4A0" w14:textId="77777777" w:rsidR="004835BA" w:rsidRDefault="004835BA" w:rsidP="004835BA">
      <w:pPr>
        <w:jc w:val="center"/>
        <w:rPr>
          <w:rFonts w:cstheme="minorHAnsi"/>
          <w:b/>
          <w:bCs/>
          <w:sz w:val="28"/>
          <w:szCs w:val="28"/>
        </w:rPr>
      </w:pPr>
    </w:p>
    <w:p w14:paraId="0F45B228" w14:textId="77777777" w:rsidR="004835BA" w:rsidRPr="00C261A7" w:rsidRDefault="004835BA" w:rsidP="004835BA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ΖΗΣΕ ΚΑΛΑ ΜΕ ΤΟΝ ΣΑΚΧΑΡΩΔΗ ΔΙΑΒΗΤΗ </w:t>
      </w:r>
    </w:p>
    <w:p w14:paraId="7FD06ECF" w14:textId="77777777" w:rsidR="004835BA" w:rsidRPr="00C261A7" w:rsidRDefault="004835BA" w:rsidP="004835BA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>ΑΠΟΦΥΓΕ ΤΙΣ ΕΠΙΠΛΟΚΕΣ</w:t>
      </w:r>
    </w:p>
    <w:p w14:paraId="7A3809EF" w14:textId="77777777" w:rsidR="004835BA" w:rsidRPr="00C261A7" w:rsidRDefault="004835BA" w:rsidP="004835BA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 </w:t>
      </w:r>
    </w:p>
    <w:p w14:paraId="52E21713" w14:textId="77777777" w:rsidR="00C261A7" w:rsidRDefault="00C261A7" w:rsidP="00DE564A">
      <w:pPr>
        <w:jc w:val="both"/>
        <w:rPr>
          <w:rFonts w:cstheme="minorHAnsi"/>
          <w:sz w:val="28"/>
          <w:szCs w:val="28"/>
        </w:rPr>
      </w:pPr>
    </w:p>
    <w:p w14:paraId="469C1A7B" w14:textId="77777777" w:rsidR="000C7F08" w:rsidRPr="00C261A7" w:rsidRDefault="000C7F08" w:rsidP="00DE564A">
      <w:p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Η </w:t>
      </w:r>
      <w:r w:rsidRPr="00C261A7">
        <w:rPr>
          <w:rFonts w:cstheme="minorHAnsi"/>
          <w:b/>
          <w:bCs/>
          <w:sz w:val="28"/>
          <w:szCs w:val="28"/>
        </w:rPr>
        <w:t>14</w:t>
      </w:r>
      <w:r w:rsidRPr="00C261A7">
        <w:rPr>
          <w:rFonts w:cstheme="minorHAnsi"/>
          <w:b/>
          <w:bCs/>
          <w:sz w:val="28"/>
          <w:szCs w:val="28"/>
          <w:vertAlign w:val="superscript"/>
        </w:rPr>
        <w:t>η</w:t>
      </w:r>
      <w:r w:rsidRPr="00C261A7">
        <w:rPr>
          <w:rFonts w:cstheme="minorHAnsi"/>
          <w:b/>
          <w:bCs/>
          <w:sz w:val="28"/>
          <w:szCs w:val="28"/>
        </w:rPr>
        <w:t xml:space="preserve"> Νοεμβρίου</w:t>
      </w:r>
      <w:r w:rsidRPr="00C261A7">
        <w:rPr>
          <w:rFonts w:cstheme="minorHAnsi"/>
          <w:sz w:val="28"/>
          <w:szCs w:val="28"/>
        </w:rPr>
        <w:t xml:space="preserve"> έχει καθιερωθεί ως </w:t>
      </w:r>
      <w:r w:rsidRPr="00C261A7">
        <w:rPr>
          <w:rFonts w:cstheme="minorHAnsi"/>
          <w:b/>
          <w:bCs/>
          <w:i/>
          <w:iCs/>
          <w:sz w:val="28"/>
          <w:szCs w:val="28"/>
        </w:rPr>
        <w:t>Παγκόσμια Ημέρα για τον Σακχαρώδη Διαβήτη (ΣΔ)</w:t>
      </w:r>
      <w:r w:rsidRPr="00C261A7">
        <w:rPr>
          <w:rFonts w:cstheme="minorHAnsi"/>
          <w:sz w:val="28"/>
          <w:szCs w:val="28"/>
        </w:rPr>
        <w:t xml:space="preserve"> από τη Διεθνή Ομοσπονδία Διαβήτη (</w:t>
      </w:r>
      <w:r w:rsidRPr="00C261A7">
        <w:rPr>
          <w:rFonts w:cstheme="minorHAnsi"/>
          <w:sz w:val="28"/>
          <w:szCs w:val="28"/>
          <w:lang w:val="en-US"/>
        </w:rPr>
        <w:t>IDF</w:t>
      </w:r>
      <w:r w:rsidRPr="00C261A7">
        <w:rPr>
          <w:rFonts w:cstheme="minorHAnsi"/>
          <w:sz w:val="28"/>
          <w:szCs w:val="28"/>
        </w:rPr>
        <w:t>) και τον Παγκόσμιο Οργανισμό Υγείας</w:t>
      </w:r>
      <w:r w:rsidR="00DE564A" w:rsidRPr="00C261A7">
        <w:rPr>
          <w:rFonts w:cstheme="minorHAnsi"/>
          <w:sz w:val="28"/>
          <w:szCs w:val="28"/>
        </w:rPr>
        <w:t xml:space="preserve"> (</w:t>
      </w:r>
      <w:r w:rsidR="00DE564A" w:rsidRPr="00C261A7">
        <w:rPr>
          <w:rFonts w:cstheme="minorHAnsi"/>
          <w:sz w:val="28"/>
          <w:szCs w:val="28"/>
          <w:lang w:val="en-US"/>
        </w:rPr>
        <w:t>WHO</w:t>
      </w:r>
      <w:r w:rsidR="00DE564A" w:rsidRPr="00C261A7">
        <w:rPr>
          <w:rFonts w:cstheme="minorHAnsi"/>
          <w:sz w:val="28"/>
          <w:szCs w:val="28"/>
        </w:rPr>
        <w:t>)</w:t>
      </w:r>
      <w:r w:rsidR="00C261A7">
        <w:rPr>
          <w:rFonts w:cstheme="minorHAnsi"/>
          <w:sz w:val="28"/>
          <w:szCs w:val="28"/>
        </w:rPr>
        <w:t>.</w:t>
      </w:r>
      <w:r w:rsidRPr="00C261A7">
        <w:rPr>
          <w:rFonts w:cstheme="minorHAnsi"/>
          <w:sz w:val="28"/>
          <w:szCs w:val="28"/>
        </w:rPr>
        <w:t xml:space="preserve"> </w:t>
      </w:r>
      <w:r w:rsidR="00670610" w:rsidRPr="00C261A7">
        <w:rPr>
          <w:rFonts w:cstheme="minorHAnsi"/>
          <w:sz w:val="28"/>
          <w:szCs w:val="28"/>
        </w:rPr>
        <w:t>Ε</w:t>
      </w:r>
      <w:r w:rsidR="0072047C" w:rsidRPr="00C261A7">
        <w:rPr>
          <w:rFonts w:cstheme="minorHAnsi"/>
          <w:sz w:val="28"/>
          <w:szCs w:val="28"/>
        </w:rPr>
        <w:t xml:space="preserve">πιλέχθηκε γιατί είναι η γενέθλιος ημέρα του Frederick Banding ο οποίος </w:t>
      </w:r>
      <w:r w:rsidR="00C261A7">
        <w:rPr>
          <w:rFonts w:cstheme="minorHAnsi"/>
          <w:sz w:val="28"/>
          <w:szCs w:val="28"/>
        </w:rPr>
        <w:t>--</w:t>
      </w:r>
      <w:r w:rsidR="0072047C" w:rsidRPr="00C261A7">
        <w:rPr>
          <w:rFonts w:cstheme="minorHAnsi"/>
          <w:sz w:val="28"/>
          <w:szCs w:val="28"/>
        </w:rPr>
        <w:t>σε συνεργασία με τον Charles Best</w:t>
      </w:r>
      <w:r w:rsidR="00C261A7">
        <w:rPr>
          <w:rFonts w:cstheme="minorHAnsi"/>
          <w:sz w:val="28"/>
          <w:szCs w:val="28"/>
        </w:rPr>
        <w:t>-</w:t>
      </w:r>
      <w:r w:rsidR="0072047C" w:rsidRPr="00C261A7">
        <w:rPr>
          <w:rFonts w:cstheme="minorHAnsi"/>
          <w:sz w:val="28"/>
          <w:szCs w:val="28"/>
        </w:rPr>
        <w:t xml:space="preserve"> συνέλαβαν την ιδέα που οδήγησ</w:t>
      </w:r>
      <w:r w:rsidR="00C261A7">
        <w:rPr>
          <w:rFonts w:cstheme="minorHAnsi"/>
          <w:sz w:val="28"/>
          <w:szCs w:val="28"/>
        </w:rPr>
        <w:t xml:space="preserve">ε στην ανακάλυψη της ινσουλίνης </w:t>
      </w:r>
      <w:r w:rsidR="0072047C" w:rsidRPr="00C261A7">
        <w:rPr>
          <w:rFonts w:cstheme="minorHAnsi"/>
          <w:sz w:val="28"/>
          <w:szCs w:val="28"/>
        </w:rPr>
        <w:t>τον Οκτώβριο του 1921. Η εκστρατεία στοχεύει στην πρόληψη και στη</w:t>
      </w:r>
      <w:r w:rsidR="00C970D5" w:rsidRPr="00C261A7">
        <w:rPr>
          <w:rFonts w:cstheme="minorHAnsi"/>
          <w:sz w:val="28"/>
          <w:szCs w:val="28"/>
        </w:rPr>
        <w:t>ν</w:t>
      </w:r>
      <w:r w:rsidR="0072047C" w:rsidRPr="00C261A7">
        <w:rPr>
          <w:rFonts w:cstheme="minorHAnsi"/>
          <w:sz w:val="28"/>
          <w:szCs w:val="28"/>
        </w:rPr>
        <w:t xml:space="preserve"> καλύτερη διαχείριση του διαβήτη αλλά και των επιπλοκών που προκαλεί, όπως τα καρδιαγγειακά συμβάματα, μέσω της  ενημέρωσης του κοινού όσον αφορά τα αίτια, τα συμπτώματα και </w:t>
      </w:r>
      <w:r w:rsidR="00F606D3" w:rsidRPr="00C261A7">
        <w:rPr>
          <w:rFonts w:cstheme="minorHAnsi"/>
          <w:sz w:val="28"/>
          <w:szCs w:val="28"/>
        </w:rPr>
        <w:t>τη</w:t>
      </w:r>
      <w:r w:rsidR="0072047C" w:rsidRPr="00C261A7">
        <w:rPr>
          <w:rFonts w:cstheme="minorHAnsi"/>
          <w:sz w:val="28"/>
          <w:szCs w:val="28"/>
        </w:rPr>
        <w:t xml:space="preserve"> θεραπεία.</w:t>
      </w:r>
    </w:p>
    <w:p w14:paraId="6DB0ADB5" w14:textId="77777777" w:rsidR="000C7F08" w:rsidRPr="00C261A7" w:rsidRDefault="00A03F38" w:rsidP="00DE564A">
      <w:p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Ο Σακχαρώδης Διαβήτης</w:t>
      </w:r>
      <w:r w:rsidR="00291871" w:rsidRPr="00C261A7">
        <w:rPr>
          <w:rFonts w:cstheme="minorHAnsi"/>
          <w:sz w:val="28"/>
          <w:szCs w:val="28"/>
        </w:rPr>
        <w:t xml:space="preserve"> (ΣΔ)</w:t>
      </w:r>
      <w:r w:rsidRPr="00C261A7">
        <w:rPr>
          <w:rFonts w:cstheme="minorHAnsi"/>
          <w:sz w:val="28"/>
          <w:szCs w:val="28"/>
        </w:rPr>
        <w:t xml:space="preserve"> αποτελεί </w:t>
      </w:r>
      <w:r w:rsidR="0072047C" w:rsidRPr="00C261A7">
        <w:rPr>
          <w:rFonts w:cstheme="minorHAnsi"/>
          <w:sz w:val="28"/>
          <w:szCs w:val="28"/>
        </w:rPr>
        <w:t xml:space="preserve">ένα χρονίως εξελισσόμενο </w:t>
      </w:r>
      <w:r w:rsidRPr="00C261A7">
        <w:rPr>
          <w:rFonts w:cstheme="minorHAnsi"/>
          <w:sz w:val="28"/>
          <w:szCs w:val="28"/>
        </w:rPr>
        <w:t xml:space="preserve">μεταβολικό νόσημα με πολυπαραγοντικό υπόστρωμα </w:t>
      </w:r>
      <w:r w:rsidR="000C7F08" w:rsidRPr="00C261A7">
        <w:rPr>
          <w:rFonts w:cstheme="minorHAnsi"/>
          <w:sz w:val="28"/>
          <w:szCs w:val="28"/>
        </w:rPr>
        <w:t>που χαρακτηρίζεται από υψηλό σάκχαρο στο αίμα, αντίσταση στην ινσουλίνη και έλλειψη ινσουλίνης.</w:t>
      </w:r>
      <w:r w:rsidRPr="00C261A7">
        <w:rPr>
          <w:rFonts w:cstheme="minorHAnsi"/>
          <w:sz w:val="28"/>
          <w:szCs w:val="28"/>
        </w:rPr>
        <w:t xml:space="preserve"> </w:t>
      </w:r>
      <w:r w:rsidR="00291871" w:rsidRPr="00C261A7">
        <w:rPr>
          <w:rFonts w:cstheme="minorHAnsi"/>
          <w:sz w:val="28"/>
          <w:szCs w:val="28"/>
        </w:rPr>
        <w:t xml:space="preserve">Ταξινομείται αιτιολογικά σε 4 κατηγορίες αλλά δυο είναι οι συχνότερες μορφές του. </w:t>
      </w:r>
      <w:r w:rsidR="000C7F08" w:rsidRPr="00C261A7">
        <w:rPr>
          <w:rFonts w:cstheme="minorHAnsi"/>
          <w:sz w:val="28"/>
          <w:szCs w:val="28"/>
        </w:rPr>
        <w:t xml:space="preserve">Ο ΣΔ τύπου 1 </w:t>
      </w:r>
      <w:r w:rsidR="00291871" w:rsidRPr="00C261A7">
        <w:rPr>
          <w:rFonts w:cstheme="minorHAnsi"/>
          <w:sz w:val="28"/>
          <w:szCs w:val="28"/>
        </w:rPr>
        <w:t xml:space="preserve">όπου </w:t>
      </w:r>
      <w:r w:rsidR="000C7F08" w:rsidRPr="00C261A7">
        <w:rPr>
          <w:rFonts w:cstheme="minorHAnsi"/>
          <w:sz w:val="28"/>
          <w:szCs w:val="28"/>
        </w:rPr>
        <w:t>δεν παράγεται ινσουλίνη</w:t>
      </w:r>
      <w:r w:rsidR="00291871" w:rsidRPr="00C261A7">
        <w:rPr>
          <w:rFonts w:cstheme="minorHAnsi"/>
          <w:sz w:val="28"/>
          <w:szCs w:val="28"/>
        </w:rPr>
        <w:t xml:space="preserve"> λόγω αυτοάνοσης καταστροφής των β-κυττάρων </w:t>
      </w:r>
      <w:r w:rsidR="000C7F08" w:rsidRPr="00C261A7">
        <w:rPr>
          <w:rFonts w:cstheme="minorHAnsi"/>
          <w:sz w:val="28"/>
          <w:szCs w:val="28"/>
        </w:rPr>
        <w:t xml:space="preserve"> </w:t>
      </w:r>
      <w:r w:rsidR="00291871" w:rsidRPr="00C261A7">
        <w:rPr>
          <w:rFonts w:cstheme="minorHAnsi"/>
          <w:sz w:val="28"/>
          <w:szCs w:val="28"/>
        </w:rPr>
        <w:t>του παγκρέατος. Ε</w:t>
      </w:r>
      <w:r w:rsidR="000C7F08" w:rsidRPr="00C261A7">
        <w:rPr>
          <w:rFonts w:cstheme="minorHAnsi"/>
          <w:sz w:val="28"/>
          <w:szCs w:val="28"/>
        </w:rPr>
        <w:t>μφανίζεται συχνότερα σε παιδιά και νέους</w:t>
      </w:r>
      <w:r w:rsidR="008D675C" w:rsidRPr="00C261A7">
        <w:rPr>
          <w:rFonts w:cstheme="minorHAnsi"/>
          <w:sz w:val="28"/>
          <w:szCs w:val="28"/>
        </w:rPr>
        <w:t xml:space="preserve"> </w:t>
      </w:r>
      <w:r w:rsidR="008D675C" w:rsidRPr="00C261A7">
        <w:rPr>
          <w:rFonts w:cstheme="minorHAnsi"/>
          <w:sz w:val="28"/>
          <w:szCs w:val="28"/>
        </w:rPr>
        <w:lastRenderedPageBreak/>
        <w:t xml:space="preserve">ενήλικες. </w:t>
      </w:r>
      <w:r w:rsidR="000C7F08" w:rsidRPr="00C261A7">
        <w:rPr>
          <w:rFonts w:cstheme="minorHAnsi"/>
          <w:sz w:val="28"/>
          <w:szCs w:val="28"/>
        </w:rPr>
        <w:t xml:space="preserve">Ο ΣΔ τύπου 2 </w:t>
      </w:r>
      <w:r w:rsidR="00291871" w:rsidRPr="00C261A7">
        <w:rPr>
          <w:rFonts w:cstheme="minorHAnsi"/>
          <w:sz w:val="28"/>
          <w:szCs w:val="28"/>
        </w:rPr>
        <w:t>όπου υπάρχει αντίσταση στην ινσουλίνη και σχετική έλλειψη της. Κύρια αιτία του αποτελεί η παχυσαρκία και η καθιστική ζωή. Α</w:t>
      </w:r>
      <w:r w:rsidR="000C7F08" w:rsidRPr="00C261A7">
        <w:rPr>
          <w:rFonts w:cstheme="minorHAnsi"/>
          <w:sz w:val="28"/>
          <w:szCs w:val="28"/>
        </w:rPr>
        <w:t xml:space="preserve">ποτελεί </w:t>
      </w:r>
      <w:r w:rsidR="00F606D3" w:rsidRPr="00C261A7">
        <w:rPr>
          <w:rFonts w:cstheme="minorHAnsi"/>
          <w:sz w:val="28"/>
          <w:szCs w:val="28"/>
        </w:rPr>
        <w:t>τη</w:t>
      </w:r>
      <w:r w:rsidR="000C7F08" w:rsidRPr="00C261A7">
        <w:rPr>
          <w:rFonts w:cstheme="minorHAnsi"/>
          <w:sz w:val="28"/>
          <w:szCs w:val="28"/>
        </w:rPr>
        <w:t xml:space="preserve"> συχνότερη μορφή ΣΔ</w:t>
      </w:r>
      <w:r w:rsidR="005523EF" w:rsidRPr="00C261A7">
        <w:rPr>
          <w:rFonts w:cstheme="minorHAnsi"/>
          <w:sz w:val="28"/>
          <w:szCs w:val="28"/>
        </w:rPr>
        <w:t xml:space="preserve"> </w:t>
      </w:r>
      <w:r w:rsidR="00291871" w:rsidRPr="00C261A7">
        <w:rPr>
          <w:rFonts w:cstheme="minorHAnsi"/>
          <w:sz w:val="28"/>
          <w:szCs w:val="28"/>
        </w:rPr>
        <w:t>και εμφανίζεται κυρίως σε ενήλικες.</w:t>
      </w:r>
    </w:p>
    <w:p w14:paraId="2E04EE78" w14:textId="77777777" w:rsidR="00F145B2" w:rsidRPr="00C261A7" w:rsidRDefault="00031E1D" w:rsidP="00DE564A">
      <w:p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Η μη ικανοποιητική ρύθμιση του ΣΔ οδηγεί σε μακροχρόνιες επιπλοκές </w:t>
      </w:r>
      <w:r w:rsidR="00735AAC" w:rsidRPr="00C261A7">
        <w:rPr>
          <w:rFonts w:cstheme="minorHAnsi"/>
          <w:sz w:val="28"/>
          <w:szCs w:val="28"/>
        </w:rPr>
        <w:t>(</w:t>
      </w:r>
      <w:r w:rsidR="00F606D3" w:rsidRPr="00C261A7">
        <w:rPr>
          <w:rFonts w:cstheme="minorHAnsi"/>
          <w:b/>
          <w:bCs/>
          <w:i/>
          <w:iCs/>
          <w:sz w:val="28"/>
          <w:szCs w:val="28"/>
        </w:rPr>
        <w:t>με σοβαρότερες αυτές</w:t>
      </w:r>
      <w:r w:rsidR="00F145B2" w:rsidRPr="00C261A7">
        <w:rPr>
          <w:rFonts w:cstheme="minorHAnsi"/>
          <w:b/>
          <w:bCs/>
          <w:i/>
          <w:iCs/>
          <w:sz w:val="28"/>
          <w:szCs w:val="28"/>
        </w:rPr>
        <w:t xml:space="preserve"> από το καρδιαγγειακό</w:t>
      </w:r>
      <w:r w:rsidR="00735AAC" w:rsidRPr="00C261A7">
        <w:rPr>
          <w:rFonts w:cstheme="minorHAnsi"/>
          <w:b/>
          <w:bCs/>
          <w:i/>
          <w:iCs/>
          <w:sz w:val="28"/>
          <w:szCs w:val="28"/>
        </w:rPr>
        <w:t>)</w:t>
      </w:r>
      <w:r w:rsidR="00F145B2" w:rsidRPr="00C261A7">
        <w:rPr>
          <w:rFonts w:cstheme="minorHAnsi"/>
          <w:sz w:val="28"/>
          <w:szCs w:val="28"/>
        </w:rPr>
        <w:t xml:space="preserve"> </w:t>
      </w:r>
      <w:r w:rsidRPr="00C261A7">
        <w:rPr>
          <w:rFonts w:cstheme="minorHAnsi"/>
          <w:sz w:val="28"/>
          <w:szCs w:val="28"/>
        </w:rPr>
        <w:t>οι οποίες είναι</w:t>
      </w:r>
      <w:r w:rsidR="00F145B2" w:rsidRPr="00C261A7">
        <w:rPr>
          <w:rFonts w:cstheme="minorHAnsi"/>
          <w:sz w:val="28"/>
          <w:szCs w:val="28"/>
        </w:rPr>
        <w:t>:</w:t>
      </w:r>
    </w:p>
    <w:p w14:paraId="0E3D32DC" w14:textId="77777777" w:rsidR="00F145B2" w:rsidRPr="00C261A7" w:rsidRDefault="00F145B2" w:rsidP="00670610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-</w:t>
      </w:r>
      <w:r w:rsidR="00031E1D" w:rsidRPr="00C261A7">
        <w:rPr>
          <w:rFonts w:cstheme="minorHAnsi"/>
          <w:sz w:val="28"/>
          <w:szCs w:val="28"/>
        </w:rPr>
        <w:t xml:space="preserve">η διαβητική αμφιβληστροειδοπάθεια που δύναται να οδηγήσει σε τύφλωση, </w:t>
      </w:r>
    </w:p>
    <w:p w14:paraId="5CD4DD6A" w14:textId="77777777" w:rsidR="00F145B2" w:rsidRPr="00C261A7" w:rsidRDefault="00F145B2" w:rsidP="00670610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-η </w:t>
      </w:r>
      <w:r w:rsidR="00031E1D" w:rsidRPr="00C261A7">
        <w:rPr>
          <w:rFonts w:cstheme="minorHAnsi"/>
          <w:sz w:val="28"/>
          <w:szCs w:val="28"/>
        </w:rPr>
        <w:t xml:space="preserve">διαβητική νεφροπάθεια που δύναται να οδηγήσει </w:t>
      </w:r>
      <w:r w:rsidR="00C970D5" w:rsidRPr="00C261A7">
        <w:rPr>
          <w:rFonts w:cstheme="minorHAnsi"/>
          <w:sz w:val="28"/>
          <w:szCs w:val="28"/>
        </w:rPr>
        <w:t xml:space="preserve">σε </w:t>
      </w:r>
      <w:r w:rsidRPr="00C261A7">
        <w:rPr>
          <w:rFonts w:cstheme="minorHAnsi"/>
          <w:sz w:val="28"/>
          <w:szCs w:val="28"/>
        </w:rPr>
        <w:t xml:space="preserve">νεφρική ανεπάρκεια και </w:t>
      </w:r>
      <w:r w:rsidR="00031E1D" w:rsidRPr="00C261A7">
        <w:rPr>
          <w:rFonts w:cstheme="minorHAnsi"/>
          <w:sz w:val="28"/>
          <w:szCs w:val="28"/>
        </w:rPr>
        <w:t>αιμοκάθαρση</w:t>
      </w:r>
    </w:p>
    <w:p w14:paraId="6D3F0DE3" w14:textId="77777777" w:rsidR="00F145B2" w:rsidRPr="00C261A7" w:rsidRDefault="00F145B2" w:rsidP="00670610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-</w:t>
      </w:r>
      <w:r w:rsidR="00031E1D" w:rsidRPr="00C261A7">
        <w:rPr>
          <w:rFonts w:cstheme="minorHAnsi"/>
          <w:sz w:val="28"/>
          <w:szCs w:val="28"/>
        </w:rPr>
        <w:t>η περιφερική αγγειοπάθεια και νευροπάθεια που δύναται να οδηγήσουν σε έλκη</w:t>
      </w:r>
      <w:r w:rsidR="002C49CA" w:rsidRPr="00C261A7">
        <w:rPr>
          <w:rFonts w:cstheme="minorHAnsi"/>
          <w:sz w:val="28"/>
          <w:szCs w:val="28"/>
        </w:rPr>
        <w:t xml:space="preserve"> – λοιμώξεις </w:t>
      </w:r>
      <w:r w:rsidRPr="00C261A7">
        <w:rPr>
          <w:rFonts w:cstheme="minorHAnsi"/>
          <w:sz w:val="28"/>
          <w:szCs w:val="28"/>
        </w:rPr>
        <w:t>στα κάτω άκρα (</w:t>
      </w:r>
      <w:r w:rsidR="002C49CA" w:rsidRPr="00C261A7">
        <w:rPr>
          <w:rFonts w:cstheme="minorHAnsi"/>
          <w:sz w:val="28"/>
          <w:szCs w:val="28"/>
        </w:rPr>
        <w:t>διαβητικ</w:t>
      </w:r>
      <w:r w:rsidRPr="00C261A7">
        <w:rPr>
          <w:rFonts w:cstheme="minorHAnsi"/>
          <w:sz w:val="28"/>
          <w:szCs w:val="28"/>
        </w:rPr>
        <w:t>ό</w:t>
      </w:r>
      <w:r w:rsidR="002C49CA" w:rsidRPr="00C261A7">
        <w:rPr>
          <w:rFonts w:cstheme="minorHAnsi"/>
          <w:sz w:val="28"/>
          <w:szCs w:val="28"/>
        </w:rPr>
        <w:t xml:space="preserve"> π</w:t>
      </w:r>
      <w:r w:rsidRPr="00C261A7">
        <w:rPr>
          <w:rFonts w:cstheme="minorHAnsi"/>
          <w:sz w:val="28"/>
          <w:szCs w:val="28"/>
        </w:rPr>
        <w:t>όδι)</w:t>
      </w:r>
      <w:r w:rsidR="00C261A7">
        <w:rPr>
          <w:rFonts w:cstheme="minorHAnsi"/>
          <w:sz w:val="28"/>
          <w:szCs w:val="28"/>
        </w:rPr>
        <w:t xml:space="preserve"> και σε ακρωτηριασμό</w:t>
      </w:r>
    </w:p>
    <w:p w14:paraId="2704AA43" w14:textId="77777777" w:rsidR="00031E1D" w:rsidRPr="00C261A7" w:rsidRDefault="00F145B2" w:rsidP="00670610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-</w:t>
      </w:r>
      <w:r w:rsidR="00AA6132" w:rsidRPr="00C261A7">
        <w:rPr>
          <w:rFonts w:cstheme="minorHAnsi"/>
          <w:sz w:val="28"/>
          <w:szCs w:val="28"/>
        </w:rPr>
        <w:t>Κ</w:t>
      </w:r>
      <w:r w:rsidR="00C261A7">
        <w:rPr>
          <w:rFonts w:cstheme="minorHAnsi"/>
          <w:sz w:val="28"/>
          <w:szCs w:val="28"/>
        </w:rPr>
        <w:t xml:space="preserve">αρδιαγγειακά </w:t>
      </w:r>
      <w:r w:rsidR="002C49CA" w:rsidRPr="00C261A7">
        <w:rPr>
          <w:rFonts w:cstheme="minorHAnsi"/>
          <w:sz w:val="28"/>
          <w:szCs w:val="28"/>
        </w:rPr>
        <w:t>συμβάματα</w:t>
      </w:r>
      <w:r w:rsidR="00A756C9" w:rsidRPr="00C261A7">
        <w:rPr>
          <w:rFonts w:cstheme="minorHAnsi"/>
          <w:sz w:val="28"/>
          <w:szCs w:val="28"/>
        </w:rPr>
        <w:t xml:space="preserve"> όπως οξύ έμφραγμα του μυοκαρδίου</w:t>
      </w:r>
      <w:r w:rsidR="00F606D3" w:rsidRPr="00C261A7">
        <w:rPr>
          <w:rFonts w:cstheme="minorHAnsi"/>
          <w:sz w:val="28"/>
          <w:szCs w:val="28"/>
        </w:rPr>
        <w:t>, καρδιακή ανεπάρκεια</w:t>
      </w:r>
      <w:r w:rsidR="00A756C9" w:rsidRPr="00C261A7">
        <w:rPr>
          <w:rFonts w:cstheme="minorHAnsi"/>
          <w:sz w:val="28"/>
          <w:szCs w:val="28"/>
        </w:rPr>
        <w:t xml:space="preserve"> και ισχαιμικά αγγειακά </w:t>
      </w:r>
      <w:r w:rsidR="00AA6132" w:rsidRPr="00C261A7">
        <w:rPr>
          <w:rFonts w:cstheme="minorHAnsi"/>
          <w:sz w:val="28"/>
          <w:szCs w:val="28"/>
        </w:rPr>
        <w:t xml:space="preserve">εγκεφαλικά </w:t>
      </w:r>
      <w:r w:rsidR="00A756C9" w:rsidRPr="00C261A7">
        <w:rPr>
          <w:rFonts w:cstheme="minorHAnsi"/>
          <w:sz w:val="28"/>
          <w:szCs w:val="28"/>
        </w:rPr>
        <w:t xml:space="preserve">επεισόδια. </w:t>
      </w:r>
      <w:r w:rsidR="002C49CA" w:rsidRPr="00C261A7">
        <w:rPr>
          <w:rFonts w:cstheme="minorHAnsi"/>
          <w:sz w:val="28"/>
          <w:szCs w:val="28"/>
        </w:rPr>
        <w:t xml:space="preserve"> </w:t>
      </w:r>
    </w:p>
    <w:p w14:paraId="79049C49" w14:textId="77777777" w:rsidR="00071B92" w:rsidRPr="00C261A7" w:rsidRDefault="00071B92" w:rsidP="00DE564A">
      <w:pPr>
        <w:jc w:val="both"/>
        <w:rPr>
          <w:rFonts w:cstheme="minorHAnsi"/>
          <w:sz w:val="28"/>
          <w:szCs w:val="28"/>
        </w:rPr>
      </w:pPr>
    </w:p>
    <w:p w14:paraId="40EC9574" w14:textId="77777777" w:rsidR="005523EF" w:rsidRPr="00C261A7" w:rsidRDefault="005523EF" w:rsidP="00DE564A">
      <w:pPr>
        <w:jc w:val="both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>Με απλούς αριθμούς:</w:t>
      </w:r>
    </w:p>
    <w:p w14:paraId="4F2E6393" w14:textId="77777777" w:rsidR="005523EF" w:rsidRPr="00C261A7" w:rsidRDefault="00F606D3" w:rsidP="00DE564A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537</w:t>
      </w:r>
      <w:r w:rsidR="005523EF" w:rsidRPr="00C261A7">
        <w:rPr>
          <w:rFonts w:cstheme="minorHAnsi"/>
          <w:sz w:val="28"/>
          <w:szCs w:val="28"/>
        </w:rPr>
        <w:t xml:space="preserve"> εκατομμύρια ασθενείς σε όλο τον κόσμο πάσχουν από Σακχαρώδη Διαβήτη και </w:t>
      </w:r>
      <w:r w:rsidR="00C261A7">
        <w:rPr>
          <w:rFonts w:cstheme="minorHAnsi"/>
          <w:b/>
          <w:bCs/>
          <w:sz w:val="28"/>
          <w:szCs w:val="28"/>
        </w:rPr>
        <w:t xml:space="preserve">1 </w:t>
      </w:r>
      <w:r w:rsidR="005523EF" w:rsidRPr="00C261A7">
        <w:rPr>
          <w:rFonts w:cstheme="minorHAnsi"/>
          <w:b/>
          <w:bCs/>
          <w:sz w:val="28"/>
          <w:szCs w:val="28"/>
        </w:rPr>
        <w:t>στους 11</w:t>
      </w:r>
      <w:r w:rsidR="005523EF" w:rsidRPr="00C261A7">
        <w:rPr>
          <w:rFonts w:cstheme="minorHAnsi"/>
          <w:sz w:val="28"/>
          <w:szCs w:val="28"/>
        </w:rPr>
        <w:t xml:space="preserve"> διαγιγνώσκεται με Σακχαρώδη Διαβήτη τύπου 2</w:t>
      </w:r>
      <w:r w:rsidR="00C261A7">
        <w:rPr>
          <w:rFonts w:cstheme="minorHAnsi"/>
          <w:sz w:val="28"/>
          <w:szCs w:val="28"/>
        </w:rPr>
        <w:t>.</w:t>
      </w:r>
    </w:p>
    <w:p w14:paraId="41AECF7A" w14:textId="77777777" w:rsidR="00CB1210" w:rsidRPr="00C261A7" w:rsidRDefault="00CB1210" w:rsidP="00CB1210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Στη χώρα μας νοσούν περισσότεροι από 1 εκατομμύριο άτομα</w:t>
      </w:r>
      <w:r w:rsidR="00C261A7">
        <w:rPr>
          <w:rFonts w:cstheme="minorHAnsi"/>
          <w:sz w:val="28"/>
          <w:szCs w:val="28"/>
        </w:rPr>
        <w:t>.</w:t>
      </w:r>
    </w:p>
    <w:p w14:paraId="6A5A4353" w14:textId="77777777" w:rsidR="00AA06B5" w:rsidRPr="00C261A7" w:rsidRDefault="00AA06B5" w:rsidP="00AA06B5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Το 50% των ασθενών δεν γνωρίζουν ότι πάσχουν  από Διαβήτη</w:t>
      </w:r>
      <w:r w:rsidR="00C261A7">
        <w:rPr>
          <w:rFonts w:cstheme="minorHAnsi"/>
          <w:sz w:val="28"/>
          <w:szCs w:val="28"/>
        </w:rPr>
        <w:t>.</w:t>
      </w:r>
    </w:p>
    <w:p w14:paraId="23D5B659" w14:textId="77777777" w:rsidR="005523EF" w:rsidRPr="00C261A7" w:rsidRDefault="005523EF" w:rsidP="00DE564A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Τα άτομα με Σακχαρώδη Διαβήτη έχουν </w:t>
      </w:r>
      <w:r w:rsidR="00C261A7">
        <w:rPr>
          <w:rFonts w:cstheme="minorHAnsi"/>
          <w:b/>
          <w:bCs/>
          <w:sz w:val="28"/>
          <w:szCs w:val="28"/>
        </w:rPr>
        <w:t>2-</w:t>
      </w:r>
      <w:r w:rsidRPr="00C261A7">
        <w:rPr>
          <w:rFonts w:cstheme="minorHAnsi"/>
          <w:b/>
          <w:bCs/>
          <w:sz w:val="28"/>
          <w:szCs w:val="28"/>
        </w:rPr>
        <w:t>3</w:t>
      </w:r>
      <w:r w:rsidRPr="00C261A7">
        <w:rPr>
          <w:rFonts w:cstheme="minorHAnsi"/>
          <w:sz w:val="28"/>
          <w:szCs w:val="28"/>
        </w:rPr>
        <w:t xml:space="preserve"> </w:t>
      </w:r>
      <w:r w:rsidR="00F606D3" w:rsidRPr="00C261A7">
        <w:rPr>
          <w:rFonts w:cstheme="minorHAnsi"/>
          <w:sz w:val="28"/>
          <w:szCs w:val="28"/>
        </w:rPr>
        <w:t xml:space="preserve">φορές </w:t>
      </w:r>
      <w:r w:rsidRPr="00C261A7">
        <w:rPr>
          <w:rFonts w:cstheme="minorHAnsi"/>
          <w:sz w:val="28"/>
          <w:szCs w:val="28"/>
        </w:rPr>
        <w:t>μεγαλύτερο κίνδυνο εμφάνισης καρδιαγγειακής νόσου</w:t>
      </w:r>
      <w:r w:rsidR="00C261A7">
        <w:rPr>
          <w:rFonts w:cstheme="minorHAnsi"/>
          <w:sz w:val="28"/>
          <w:szCs w:val="28"/>
        </w:rPr>
        <w:t>.</w:t>
      </w:r>
    </w:p>
    <w:p w14:paraId="58C13D16" w14:textId="77777777" w:rsidR="00D236EE" w:rsidRPr="00C261A7" w:rsidRDefault="005523EF" w:rsidP="00D236EE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Το </w:t>
      </w:r>
      <w:r w:rsidRPr="00C261A7">
        <w:rPr>
          <w:rFonts w:cstheme="minorHAnsi"/>
          <w:b/>
          <w:bCs/>
          <w:sz w:val="28"/>
          <w:szCs w:val="28"/>
        </w:rPr>
        <w:t>84%</w:t>
      </w:r>
      <w:r w:rsidRPr="00C261A7">
        <w:rPr>
          <w:rFonts w:cstheme="minorHAnsi"/>
          <w:sz w:val="28"/>
          <w:szCs w:val="28"/>
        </w:rPr>
        <w:t xml:space="preserve"> των ατόμων ηλικίας 65 ετών και άνω με </w:t>
      </w:r>
      <w:r w:rsidR="00AA06B5" w:rsidRPr="00C261A7">
        <w:rPr>
          <w:rFonts w:cstheme="minorHAnsi"/>
          <w:sz w:val="28"/>
          <w:szCs w:val="28"/>
        </w:rPr>
        <w:t>ΣΔ</w:t>
      </w:r>
      <w:r w:rsidRPr="00C261A7">
        <w:rPr>
          <w:rFonts w:cstheme="minorHAnsi"/>
          <w:sz w:val="28"/>
          <w:szCs w:val="28"/>
        </w:rPr>
        <w:t xml:space="preserve"> πεθαίνουν από καρδιαγγειακά αίτια (</w:t>
      </w:r>
      <w:r w:rsidR="00A756C9" w:rsidRPr="00C261A7">
        <w:rPr>
          <w:rFonts w:cstheme="minorHAnsi"/>
          <w:sz w:val="28"/>
          <w:szCs w:val="28"/>
        </w:rPr>
        <w:t xml:space="preserve">οξύ </w:t>
      </w:r>
      <w:r w:rsidRPr="00C261A7">
        <w:rPr>
          <w:rFonts w:cstheme="minorHAnsi"/>
          <w:sz w:val="28"/>
          <w:szCs w:val="28"/>
        </w:rPr>
        <w:t>έμφραγμα</w:t>
      </w:r>
      <w:r w:rsidR="00A756C9" w:rsidRPr="00C261A7">
        <w:rPr>
          <w:rFonts w:cstheme="minorHAnsi"/>
          <w:sz w:val="28"/>
          <w:szCs w:val="28"/>
        </w:rPr>
        <w:t xml:space="preserve"> του μυοκαρδίου</w:t>
      </w:r>
      <w:r w:rsidRPr="00C261A7">
        <w:rPr>
          <w:rFonts w:cstheme="minorHAnsi"/>
          <w:sz w:val="28"/>
          <w:szCs w:val="28"/>
        </w:rPr>
        <w:t xml:space="preserve">, καρδιακή ανεπάρκεια, </w:t>
      </w:r>
      <w:r w:rsidR="00A756C9" w:rsidRPr="00C261A7">
        <w:rPr>
          <w:rFonts w:cstheme="minorHAnsi"/>
          <w:sz w:val="28"/>
          <w:szCs w:val="28"/>
        </w:rPr>
        <w:t>ισχαιμικό αγγειακό επεισόδιο)</w:t>
      </w:r>
      <w:r w:rsidR="00C261A7">
        <w:rPr>
          <w:rFonts w:cstheme="minorHAnsi"/>
          <w:sz w:val="28"/>
          <w:szCs w:val="28"/>
        </w:rPr>
        <w:t>.</w:t>
      </w:r>
    </w:p>
    <w:p w14:paraId="08515D25" w14:textId="77777777" w:rsidR="00AA06B5" w:rsidRPr="00C261A7" w:rsidRDefault="00AA06B5" w:rsidP="00AA06B5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Όσοι ζουν με Σακχαρώδη Διαβήτη τύπου 2 έχουν </w:t>
      </w:r>
      <w:r w:rsidRPr="00C261A7">
        <w:rPr>
          <w:rFonts w:cstheme="minorHAnsi"/>
          <w:b/>
          <w:bCs/>
          <w:sz w:val="28"/>
          <w:szCs w:val="28"/>
        </w:rPr>
        <w:t>διπλάσιες πιθανότητες</w:t>
      </w:r>
      <w:r w:rsidR="00C261A7">
        <w:rPr>
          <w:rFonts w:cstheme="minorHAnsi"/>
          <w:sz w:val="28"/>
          <w:szCs w:val="28"/>
        </w:rPr>
        <w:t xml:space="preserve"> να πεθάνουν από </w:t>
      </w:r>
      <w:r w:rsidRPr="00C261A7">
        <w:rPr>
          <w:rFonts w:cstheme="minorHAnsi"/>
          <w:sz w:val="28"/>
          <w:szCs w:val="28"/>
        </w:rPr>
        <w:t>καρδιακή νόσο ή ισχαιμικό αγγειακό εγκεφαλικό σε σύγκριση με ασθενείς χωρίς διαβήτη</w:t>
      </w:r>
      <w:r w:rsidR="00C261A7">
        <w:rPr>
          <w:rFonts w:cstheme="minorHAnsi"/>
          <w:sz w:val="28"/>
          <w:szCs w:val="28"/>
        </w:rPr>
        <w:t>.</w:t>
      </w:r>
    </w:p>
    <w:p w14:paraId="346F1A5A" w14:textId="77777777" w:rsidR="00D236EE" w:rsidRPr="00C261A7" w:rsidRDefault="00034782" w:rsidP="00AA06B5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Π</w:t>
      </w:r>
      <w:r w:rsidR="00D236EE" w:rsidRPr="00C261A7">
        <w:rPr>
          <w:rFonts w:cstheme="minorHAnsi"/>
          <w:sz w:val="28"/>
          <w:szCs w:val="28"/>
        </w:rPr>
        <w:t>ερίπου 212</w:t>
      </w:r>
      <w:r w:rsidR="008C37ED" w:rsidRPr="00C261A7">
        <w:rPr>
          <w:rFonts w:cstheme="minorHAnsi"/>
          <w:sz w:val="28"/>
          <w:szCs w:val="28"/>
        </w:rPr>
        <w:t>.</w:t>
      </w:r>
      <w:r w:rsidR="00D236EE" w:rsidRPr="00C261A7">
        <w:rPr>
          <w:rFonts w:cstheme="minorHAnsi"/>
          <w:sz w:val="28"/>
          <w:szCs w:val="28"/>
        </w:rPr>
        <w:t>4</w:t>
      </w:r>
      <w:r w:rsidR="008C37ED" w:rsidRPr="00C261A7">
        <w:rPr>
          <w:rFonts w:cstheme="minorHAnsi"/>
          <w:sz w:val="28"/>
          <w:szCs w:val="28"/>
        </w:rPr>
        <w:t>00.000</w:t>
      </w:r>
      <w:r w:rsidR="00D236EE" w:rsidRPr="00C261A7">
        <w:rPr>
          <w:rFonts w:cstheme="minorHAnsi"/>
          <w:sz w:val="28"/>
          <w:szCs w:val="28"/>
        </w:rPr>
        <w:t xml:space="preserve"> </w:t>
      </w:r>
      <w:r w:rsidRPr="00C261A7">
        <w:rPr>
          <w:rFonts w:cstheme="minorHAnsi"/>
          <w:sz w:val="28"/>
          <w:szCs w:val="28"/>
        </w:rPr>
        <w:t>συνά</w:t>
      </w:r>
      <w:r w:rsidR="00D236EE" w:rsidRPr="00C261A7">
        <w:rPr>
          <w:rFonts w:cstheme="minorHAnsi"/>
          <w:sz w:val="28"/>
          <w:szCs w:val="28"/>
        </w:rPr>
        <w:t>νθρωπο</w:t>
      </w:r>
      <w:r w:rsidR="00F145B2" w:rsidRPr="00C261A7">
        <w:rPr>
          <w:rFonts w:cstheme="minorHAnsi"/>
          <w:sz w:val="28"/>
          <w:szCs w:val="28"/>
        </w:rPr>
        <w:t>ί</w:t>
      </w:r>
      <w:r w:rsidR="00C261A7">
        <w:rPr>
          <w:rFonts w:cstheme="minorHAnsi"/>
          <w:sz w:val="28"/>
          <w:szCs w:val="28"/>
        </w:rPr>
        <w:t xml:space="preserve"> μας</w:t>
      </w:r>
      <w:r w:rsidR="008C37ED" w:rsidRPr="00C261A7">
        <w:rPr>
          <w:rFonts w:cstheme="minorHAnsi"/>
          <w:sz w:val="28"/>
          <w:szCs w:val="28"/>
        </w:rPr>
        <w:t xml:space="preserve"> </w:t>
      </w:r>
      <w:r w:rsidR="00D236EE" w:rsidRPr="00C261A7">
        <w:rPr>
          <w:rFonts w:cstheme="minorHAnsi"/>
          <w:sz w:val="28"/>
          <w:szCs w:val="28"/>
        </w:rPr>
        <w:t xml:space="preserve">ή </w:t>
      </w:r>
      <w:r w:rsidR="008C37ED" w:rsidRPr="00C261A7">
        <w:rPr>
          <w:rFonts w:cstheme="minorHAnsi"/>
          <w:sz w:val="28"/>
          <w:szCs w:val="28"/>
        </w:rPr>
        <w:t xml:space="preserve">το </w:t>
      </w:r>
      <w:r w:rsidR="008C37ED" w:rsidRPr="00C261A7">
        <w:rPr>
          <w:rFonts w:cstheme="minorHAnsi"/>
          <w:b/>
          <w:bCs/>
          <w:sz w:val="28"/>
          <w:szCs w:val="28"/>
        </w:rPr>
        <w:t xml:space="preserve">½ </w:t>
      </w:r>
      <w:r w:rsidR="00D236EE" w:rsidRPr="00C261A7">
        <w:rPr>
          <w:rFonts w:cstheme="minorHAnsi"/>
          <w:b/>
          <w:bCs/>
          <w:sz w:val="28"/>
          <w:szCs w:val="28"/>
        </w:rPr>
        <w:t>από το σύνολο των ατόμων</w:t>
      </w:r>
      <w:r w:rsidR="00D236EE" w:rsidRPr="00C261A7">
        <w:rPr>
          <w:rFonts w:cstheme="minorHAnsi"/>
          <w:sz w:val="28"/>
          <w:szCs w:val="28"/>
        </w:rPr>
        <w:t xml:space="preserve"> ηλικίας 20-79 ετών με διαβήτη δεν γνωρίζουν την ασθένειά τους και όλοι αυτοί οι άνθρωποι διατρέχουν αυξημένο κίνδυνο καρδιαγγειακής νόσου</w:t>
      </w:r>
      <w:r w:rsidR="00A14D45" w:rsidRPr="00C261A7">
        <w:rPr>
          <w:rFonts w:cstheme="minorHAnsi"/>
          <w:sz w:val="28"/>
          <w:szCs w:val="28"/>
        </w:rPr>
        <w:t>.</w:t>
      </w:r>
    </w:p>
    <w:p w14:paraId="2552B43B" w14:textId="77777777" w:rsidR="0086115B" w:rsidRPr="00C261A7" w:rsidRDefault="00E1236A" w:rsidP="00DE564A">
      <w:p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lastRenderedPageBreak/>
        <w:t xml:space="preserve">Η </w:t>
      </w:r>
      <w:r w:rsidRPr="00A03622">
        <w:rPr>
          <w:rFonts w:cstheme="minorHAnsi"/>
          <w:b/>
          <w:sz w:val="28"/>
          <w:szCs w:val="28"/>
        </w:rPr>
        <w:t>Ομάδα</w:t>
      </w:r>
      <w:r w:rsidRPr="00C261A7">
        <w:rPr>
          <w:rFonts w:cstheme="minorHAnsi"/>
          <w:sz w:val="28"/>
          <w:szCs w:val="28"/>
        </w:rPr>
        <w:t xml:space="preserve"> </w:t>
      </w:r>
      <w:r w:rsidRPr="00C261A7">
        <w:rPr>
          <w:rFonts w:cstheme="minorHAnsi"/>
          <w:b/>
          <w:sz w:val="28"/>
          <w:szCs w:val="28"/>
        </w:rPr>
        <w:t>Εργασίας για την Καρδιά και Διαβήτη της Ελληνικής Καρδιολογικής εταιρείας</w:t>
      </w:r>
      <w:r w:rsidRPr="00C261A7">
        <w:rPr>
          <w:rFonts w:cstheme="minorHAnsi"/>
          <w:sz w:val="28"/>
          <w:szCs w:val="28"/>
        </w:rPr>
        <w:t xml:space="preserve">, </w:t>
      </w:r>
      <w:r w:rsidR="00ED409F" w:rsidRPr="00C261A7">
        <w:rPr>
          <w:rFonts w:cstheme="minorHAnsi"/>
          <w:sz w:val="28"/>
          <w:szCs w:val="28"/>
        </w:rPr>
        <w:t>μαζί</w:t>
      </w:r>
      <w:r w:rsidRPr="00C261A7">
        <w:rPr>
          <w:rFonts w:cstheme="minorHAnsi"/>
          <w:sz w:val="28"/>
          <w:szCs w:val="28"/>
        </w:rPr>
        <w:t xml:space="preserve"> με την </w:t>
      </w:r>
      <w:r w:rsidRPr="00C261A7">
        <w:rPr>
          <w:rFonts w:cstheme="minorHAnsi"/>
          <w:b/>
          <w:sz w:val="28"/>
          <w:szCs w:val="28"/>
        </w:rPr>
        <w:t xml:space="preserve">Ελληνική Ενδοκρινολογική Εταιρεία </w:t>
      </w:r>
      <w:r w:rsidRPr="00C261A7">
        <w:rPr>
          <w:rFonts w:cstheme="minorHAnsi"/>
          <w:sz w:val="28"/>
          <w:szCs w:val="28"/>
        </w:rPr>
        <w:t xml:space="preserve">και την  </w:t>
      </w:r>
      <w:r w:rsidRPr="00C261A7">
        <w:rPr>
          <w:rFonts w:cstheme="minorHAnsi"/>
          <w:b/>
          <w:sz w:val="28"/>
          <w:szCs w:val="28"/>
        </w:rPr>
        <w:t>Ελληνική Διαβητολογική Εταιρεία</w:t>
      </w:r>
      <w:r w:rsidRPr="00C261A7">
        <w:rPr>
          <w:rFonts w:cstheme="minorHAnsi"/>
          <w:sz w:val="28"/>
          <w:szCs w:val="28"/>
        </w:rPr>
        <w:t xml:space="preserve">   προσπαθεί να οργανώσει Ιατρεία, με τη στενή συνεργασία καρδιολόγων, ενδοκρινολόγων και παθολόγων με εξειδίκευση στο διαβήτη </w:t>
      </w:r>
      <w:r w:rsidR="00CB1210" w:rsidRPr="00C261A7">
        <w:rPr>
          <w:rFonts w:cstheme="minorHAnsi"/>
          <w:sz w:val="28"/>
          <w:szCs w:val="28"/>
        </w:rPr>
        <w:t>ανά την ελληνική επικράτεια για την πρωτογενή και δευτερογενή πρόληψη της καρδιαγγειακής νόσου σε ασθενείς με σακχαρώδη διαβήτη ή προδιαβήτη</w:t>
      </w:r>
      <w:r w:rsidR="00670610" w:rsidRPr="00C261A7">
        <w:rPr>
          <w:rFonts w:cstheme="minorHAnsi"/>
          <w:sz w:val="28"/>
          <w:szCs w:val="28"/>
        </w:rPr>
        <w:t xml:space="preserve">. Επίσης, </w:t>
      </w:r>
      <w:r w:rsidR="00CB1210" w:rsidRPr="00C261A7">
        <w:rPr>
          <w:rFonts w:cstheme="minorHAnsi"/>
          <w:sz w:val="28"/>
          <w:szCs w:val="28"/>
        </w:rPr>
        <w:t xml:space="preserve">μέσα από διάφορες δράσεις και σε συνεργασία με δημοτικούς και κρατικούς φορείς, προσπαθεί να ενημερώσει το κοινό </w:t>
      </w:r>
      <w:r w:rsidR="00F606D3" w:rsidRPr="00C261A7">
        <w:rPr>
          <w:rFonts w:cstheme="minorHAnsi"/>
          <w:sz w:val="28"/>
          <w:szCs w:val="28"/>
        </w:rPr>
        <w:t>για την</w:t>
      </w:r>
      <w:r w:rsidR="00CB1210" w:rsidRPr="00C261A7">
        <w:rPr>
          <w:rFonts w:cstheme="minorHAnsi"/>
          <w:sz w:val="28"/>
          <w:szCs w:val="28"/>
        </w:rPr>
        <w:t xml:space="preserve"> πρόληψη τ</w:t>
      </w:r>
      <w:r w:rsidR="00670610" w:rsidRPr="00C261A7">
        <w:rPr>
          <w:rFonts w:cstheme="minorHAnsi"/>
          <w:sz w:val="28"/>
          <w:szCs w:val="28"/>
        </w:rPr>
        <w:t xml:space="preserve">ης καρδιαγγειακής νόσου σε ασθενείς με προδιάθεση ή νόσηση από </w:t>
      </w:r>
      <w:r w:rsidR="00CB1210" w:rsidRPr="00C261A7">
        <w:rPr>
          <w:rFonts w:cstheme="minorHAnsi"/>
          <w:sz w:val="28"/>
          <w:szCs w:val="28"/>
        </w:rPr>
        <w:t xml:space="preserve">διαβήτη. </w:t>
      </w:r>
      <w:r w:rsidR="00670610" w:rsidRPr="00C261A7">
        <w:rPr>
          <w:rFonts w:cstheme="minorHAnsi"/>
          <w:sz w:val="28"/>
          <w:szCs w:val="28"/>
        </w:rPr>
        <w:t>Τ</w:t>
      </w:r>
      <w:r w:rsidR="00CB1210" w:rsidRPr="00C261A7">
        <w:rPr>
          <w:rFonts w:cstheme="minorHAnsi"/>
          <w:sz w:val="28"/>
          <w:szCs w:val="28"/>
        </w:rPr>
        <w:t xml:space="preserve">α </w:t>
      </w:r>
      <w:r w:rsidR="00670610" w:rsidRPr="00C261A7">
        <w:rPr>
          <w:rFonts w:cstheme="minorHAnsi"/>
          <w:sz w:val="28"/>
          <w:szCs w:val="28"/>
        </w:rPr>
        <w:t xml:space="preserve">Ιατρεία Καρδιάς και Διαβήτη, εκτός από </w:t>
      </w:r>
      <w:r w:rsidR="00F606D3" w:rsidRPr="00C261A7">
        <w:rPr>
          <w:rFonts w:cstheme="minorHAnsi"/>
          <w:sz w:val="28"/>
          <w:szCs w:val="28"/>
        </w:rPr>
        <w:t>τη</w:t>
      </w:r>
      <w:r w:rsidR="00670610" w:rsidRPr="00C261A7">
        <w:rPr>
          <w:rFonts w:cstheme="minorHAnsi"/>
          <w:sz w:val="28"/>
          <w:szCs w:val="28"/>
        </w:rPr>
        <w:t xml:space="preserve"> βέλτιστη ρύθμιση της γλυκαιμίας, έχουν ως στόχο </w:t>
      </w:r>
      <w:r w:rsidR="00F606D3" w:rsidRPr="00C261A7">
        <w:rPr>
          <w:rFonts w:cstheme="minorHAnsi"/>
          <w:sz w:val="28"/>
          <w:szCs w:val="28"/>
        </w:rPr>
        <w:t>τη</w:t>
      </w:r>
      <w:r w:rsidR="00670610" w:rsidRPr="00C261A7">
        <w:rPr>
          <w:rFonts w:cstheme="minorHAnsi"/>
          <w:sz w:val="28"/>
          <w:szCs w:val="28"/>
        </w:rPr>
        <w:t xml:space="preserve"> διάγνωση και αντιμετώπιση των συνοσ</w:t>
      </w:r>
      <w:r w:rsidR="00ED409F" w:rsidRPr="00C261A7">
        <w:rPr>
          <w:rFonts w:cstheme="minorHAnsi"/>
          <w:sz w:val="28"/>
          <w:szCs w:val="28"/>
        </w:rPr>
        <w:t>η</w:t>
      </w:r>
      <w:r w:rsidR="00670610" w:rsidRPr="00C261A7">
        <w:rPr>
          <w:rFonts w:cstheme="minorHAnsi"/>
          <w:sz w:val="28"/>
          <w:szCs w:val="28"/>
        </w:rPr>
        <w:t>ροτήτων που προδιαθέτουν σε εμφάνιση καρδιαγγειακής νόσου αλλά και την καλύτερη διαχείριση μετά την εκδήλωσ</w:t>
      </w:r>
      <w:r w:rsidR="00716982" w:rsidRPr="00C261A7">
        <w:rPr>
          <w:rFonts w:cstheme="minorHAnsi"/>
          <w:sz w:val="28"/>
          <w:szCs w:val="28"/>
        </w:rPr>
        <w:t>ή</w:t>
      </w:r>
      <w:r w:rsidR="00670610" w:rsidRPr="00C261A7">
        <w:rPr>
          <w:rFonts w:cstheme="minorHAnsi"/>
          <w:sz w:val="28"/>
          <w:szCs w:val="28"/>
        </w:rPr>
        <w:t xml:space="preserve"> της. </w:t>
      </w:r>
    </w:p>
    <w:p w14:paraId="70D9047C" w14:textId="77777777" w:rsidR="00670610" w:rsidRPr="00C261A7" w:rsidRDefault="00670610" w:rsidP="00DE564A">
      <w:pPr>
        <w:jc w:val="both"/>
        <w:rPr>
          <w:rFonts w:cstheme="minorHAnsi"/>
          <w:sz w:val="28"/>
          <w:szCs w:val="28"/>
        </w:rPr>
      </w:pPr>
    </w:p>
    <w:p w14:paraId="508E0D12" w14:textId="77777777" w:rsidR="00F145B2" w:rsidRPr="00C261A7" w:rsidRDefault="00A91F16" w:rsidP="00D76190">
      <w:pPr>
        <w:spacing w:after="0" w:line="360" w:lineRule="auto"/>
        <w:jc w:val="both"/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 xml:space="preserve">Παροτρύνουμε τους ασθενείς αν δεν έχουν διαγνωσθεί με </w:t>
      </w:r>
      <w:r w:rsidR="00B81111"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σακχαρώδη διαβήτη</w:t>
      </w: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 xml:space="preserve">, </w:t>
      </w:r>
      <w:r w:rsidR="00F145B2"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να ελεγχθ</w:t>
      </w: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ούν εφόσον</w:t>
      </w:r>
      <w:r w:rsidR="00C50A48"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:</w:t>
      </w:r>
    </w:p>
    <w:p w14:paraId="74984779" w14:textId="77777777" w:rsidR="00F145B2" w:rsidRPr="00C261A7" w:rsidRDefault="00F145B2" w:rsidP="00D76190">
      <w:pPr>
        <w:spacing w:after="0" w:line="360" w:lineRule="auto"/>
        <w:jc w:val="both"/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</w:pPr>
    </w:p>
    <w:p w14:paraId="10FAE84B" w14:textId="77777777" w:rsidR="00D76190" w:rsidRPr="00C261A7" w:rsidRDefault="00F145B2" w:rsidP="004219F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1.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Εί</w:t>
      </w:r>
      <w:r w:rsidR="00A91F16" w:rsidRPr="00C261A7">
        <w:rPr>
          <w:rFonts w:eastAsiaTheme="minorEastAsia" w:cstheme="minorHAnsi"/>
          <w:kern w:val="24"/>
          <w:sz w:val="28"/>
          <w:szCs w:val="28"/>
          <w:lang w:eastAsia="el-GR"/>
        </w:rPr>
        <w:t>ν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αι ά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τομ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ο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υπέρβαρ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ο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ή παχύσαρκ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ο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(ΔΜΣ ≥25 kg/m</w:t>
      </w:r>
      <w:r w:rsidR="00D76190" w:rsidRPr="00C261A7">
        <w:rPr>
          <w:rFonts w:eastAsiaTheme="minorEastAsia" w:cstheme="minorHAnsi"/>
          <w:kern w:val="24"/>
          <w:sz w:val="28"/>
          <w:szCs w:val="28"/>
          <w:vertAlign w:val="superscript"/>
          <w:lang w:eastAsia="el-GR"/>
        </w:rPr>
        <w:t>2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) 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και αν επιπρόσθετα </w:t>
      </w:r>
      <w:r w:rsidR="00F606D3" w:rsidRPr="00C261A7">
        <w:rPr>
          <w:rFonts w:eastAsiaTheme="minorEastAsia" w:cstheme="minorHAnsi"/>
          <w:kern w:val="24"/>
          <w:sz w:val="28"/>
          <w:szCs w:val="28"/>
          <w:lang w:eastAsia="el-GR"/>
        </w:rPr>
        <w:t>έχει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έναν τουλάχιστον από τους παρακάτω παράγοντες:</w:t>
      </w:r>
    </w:p>
    <w:p w14:paraId="04AE3820" w14:textId="77777777" w:rsidR="00D76190" w:rsidRPr="00C261A7" w:rsidRDefault="00F145B2" w:rsidP="004219F3">
      <w:pPr>
        <w:spacing w:after="0" w:line="360" w:lineRule="auto"/>
        <w:jc w:val="both"/>
        <w:rPr>
          <w:rFonts w:eastAsiaTheme="minorEastAsia" w:cstheme="minorHAnsi"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            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>-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Οικογενειακό ιστορικό ΣΔ σε συγγενείς 1ου βαθμού (γονείς, αδέλφια, παιδιά)</w:t>
      </w:r>
    </w:p>
    <w:p w14:paraId="2AABE3EA" w14:textId="77777777" w:rsidR="00D76190" w:rsidRPr="00C261A7" w:rsidRDefault="00F145B2" w:rsidP="004219F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             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>-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Ιστορικό υπέρτασης ή καρδιαγγειακής νόσου</w:t>
      </w:r>
    </w:p>
    <w:p w14:paraId="1F535C01" w14:textId="77777777" w:rsidR="00D76190" w:rsidRPr="00C261A7" w:rsidRDefault="00F145B2" w:rsidP="004219F3">
      <w:pPr>
        <w:spacing w:after="0" w:line="360" w:lineRule="auto"/>
        <w:contextualSpacing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              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>-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Ιστορικό δυσλιπιδαιμίας (υψηλά τριγλυκερίδια [&gt;250 mg/dL], χαμηλή HDL &lt;35 mg/dL])</w:t>
      </w:r>
    </w:p>
    <w:p w14:paraId="5BFD5D97" w14:textId="77777777" w:rsidR="00D76190" w:rsidRPr="00C261A7" w:rsidRDefault="00F145B2" w:rsidP="004219F3">
      <w:pPr>
        <w:spacing w:after="0" w:line="360" w:lineRule="auto"/>
        <w:contextualSpacing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               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>-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Σύνδρομο 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πολυκυστικών ωοθηκών</w:t>
      </w:r>
    </w:p>
    <w:p w14:paraId="21FC51C8" w14:textId="77777777" w:rsidR="00D76190" w:rsidRPr="00C261A7" w:rsidRDefault="00F145B2" w:rsidP="004219F3">
      <w:pPr>
        <w:spacing w:after="0" w:line="360" w:lineRule="auto"/>
        <w:contextualSpacing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               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>-</w:t>
      </w:r>
      <w:r w:rsidR="00D76190" w:rsidRPr="00C261A7">
        <w:rPr>
          <w:rFonts w:eastAsiaTheme="minorEastAsia" w:cstheme="minorHAnsi"/>
          <w:kern w:val="24"/>
          <w:sz w:val="28"/>
          <w:szCs w:val="28"/>
          <w:lang w:eastAsia="el-GR"/>
        </w:rPr>
        <w:t>Καταστάσεις που σχετίζονται με αντίσταση στην ινσουλίνη (π.χ. μελανίζουσα ακάνθωση)</w:t>
      </w:r>
    </w:p>
    <w:p w14:paraId="67DA3D05" w14:textId="77777777" w:rsidR="00D76190" w:rsidRPr="00C261A7" w:rsidRDefault="00D76190" w:rsidP="00D76190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2.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</w:t>
      </w:r>
      <w:r w:rsidR="00F145B2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Έχει </w:t>
      </w:r>
      <w:r w:rsidR="00C261A7">
        <w:rPr>
          <w:rFonts w:eastAsiaTheme="minorEastAsia" w:cstheme="minorHAnsi"/>
          <w:kern w:val="24"/>
          <w:sz w:val="28"/>
          <w:szCs w:val="28"/>
          <w:lang w:eastAsia="el-GR"/>
        </w:rPr>
        <w:t>ι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στορικό προδιαβήτη</w:t>
      </w:r>
    </w:p>
    <w:p w14:paraId="3A63E114" w14:textId="77777777" w:rsidR="00D76190" w:rsidRPr="00C261A7" w:rsidRDefault="00D76190" w:rsidP="00D76190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3.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</w:t>
      </w:r>
      <w:r w:rsidR="00F145B2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Έχει </w:t>
      </w:r>
      <w:r w:rsidR="00C261A7">
        <w:rPr>
          <w:rFonts w:eastAsiaTheme="minorEastAsia" w:cstheme="minorHAnsi"/>
          <w:kern w:val="24"/>
          <w:sz w:val="28"/>
          <w:szCs w:val="28"/>
          <w:lang w:eastAsia="el-GR"/>
        </w:rPr>
        <w:t>ι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στορικό </w:t>
      </w:r>
      <w:r w:rsidR="00C261A7">
        <w:rPr>
          <w:rFonts w:eastAsiaTheme="minorEastAsia" w:cstheme="minorHAnsi"/>
          <w:kern w:val="24"/>
          <w:sz w:val="28"/>
          <w:szCs w:val="28"/>
          <w:lang w:eastAsia="el-GR"/>
        </w:rPr>
        <w:t>Σακχαρώδη Δ</w:t>
      </w:r>
      <w:r w:rsidR="004219F3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ιαβήτη κατά τη διάρκεια της εγκυμοσύνης </w:t>
      </w:r>
    </w:p>
    <w:p w14:paraId="24BE8433" w14:textId="77777777" w:rsidR="00D76190" w:rsidRPr="00C261A7" w:rsidRDefault="00D76190" w:rsidP="00D76190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lastRenderedPageBreak/>
        <w:t>4.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</w:t>
      </w:r>
      <w:r w:rsidR="00F145B2" w:rsidRPr="00C261A7">
        <w:rPr>
          <w:rFonts w:eastAsiaTheme="minorEastAsia" w:cstheme="minorHAnsi"/>
          <w:kern w:val="24"/>
          <w:sz w:val="28"/>
          <w:szCs w:val="28"/>
          <w:lang w:eastAsia="el-GR"/>
        </w:rPr>
        <w:t>Εί</w:t>
      </w:r>
      <w:r w:rsidR="00A91F16" w:rsidRPr="00C261A7">
        <w:rPr>
          <w:rFonts w:eastAsiaTheme="minorEastAsia" w:cstheme="minorHAnsi"/>
          <w:kern w:val="24"/>
          <w:sz w:val="28"/>
          <w:szCs w:val="28"/>
          <w:lang w:eastAsia="el-GR"/>
        </w:rPr>
        <w:t>ναι</w:t>
      </w:r>
      <w:r w:rsidR="00F145B2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άνω των 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45 ετών</w:t>
      </w:r>
    </w:p>
    <w:p w14:paraId="3BE25A64" w14:textId="77777777" w:rsidR="00D76190" w:rsidRPr="00C261A7" w:rsidRDefault="00D76190" w:rsidP="00D76190">
      <w:pPr>
        <w:spacing w:after="0" w:line="360" w:lineRule="auto"/>
        <w:jc w:val="both"/>
        <w:rPr>
          <w:rFonts w:eastAsiaTheme="minorEastAsia" w:cstheme="minorHAnsi"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5.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</w:t>
      </w:r>
      <w:r w:rsidR="00F145B2" w:rsidRPr="00C261A7">
        <w:rPr>
          <w:rFonts w:eastAsiaTheme="minorEastAsia" w:cstheme="minorHAnsi"/>
          <w:kern w:val="24"/>
          <w:sz w:val="28"/>
          <w:szCs w:val="28"/>
          <w:lang w:eastAsia="el-GR"/>
        </w:rPr>
        <w:t>Έχει λ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οίμωξη από HIV</w:t>
      </w:r>
      <w:r w:rsidR="00C261A7">
        <w:rPr>
          <w:rFonts w:eastAsiaTheme="minorEastAsia" w:cstheme="minorHAnsi"/>
          <w:kern w:val="24"/>
          <w:sz w:val="28"/>
          <w:szCs w:val="28"/>
          <w:lang w:eastAsia="el-GR"/>
        </w:rPr>
        <w:t>.</w:t>
      </w:r>
    </w:p>
    <w:p w14:paraId="75B27B34" w14:textId="77777777" w:rsidR="00D76190" w:rsidRPr="00C261A7" w:rsidRDefault="00D76190" w:rsidP="00D76190">
      <w:pPr>
        <w:spacing w:after="0" w:line="360" w:lineRule="auto"/>
        <w:jc w:val="both"/>
        <w:rPr>
          <w:rFonts w:eastAsiaTheme="minorEastAsia" w:cstheme="minorHAnsi"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Εάν τα αποτελέσματα του προσυμπτωματικού ελέγχου είναι φυσιολογικά, θα πρέπει να επαναλαμβάνονται τουλάχιστον ανά 3ετία, με πιθανό πιο συχνό έλεγχο ανάλογα με τα αρχικά ευρήματα και τους παράγοντες κινδύνου</w:t>
      </w:r>
      <w:r w:rsidR="00A14D45" w:rsidRPr="00C261A7">
        <w:rPr>
          <w:rFonts w:eastAsiaTheme="minorEastAsia" w:cstheme="minorHAnsi"/>
          <w:kern w:val="24"/>
          <w:sz w:val="28"/>
          <w:szCs w:val="28"/>
          <w:lang w:eastAsia="el-GR"/>
        </w:rPr>
        <w:t>.</w:t>
      </w:r>
    </w:p>
    <w:p w14:paraId="5B2D61AA" w14:textId="77777777" w:rsidR="00A91F16" w:rsidRPr="00C261A7" w:rsidRDefault="00A91F16" w:rsidP="00D76190">
      <w:pPr>
        <w:spacing w:after="0" w:line="360" w:lineRule="auto"/>
        <w:jc w:val="both"/>
        <w:rPr>
          <w:rFonts w:eastAsiaTheme="minorEastAsia" w:cstheme="minorHAnsi"/>
          <w:kern w:val="24"/>
          <w:sz w:val="28"/>
          <w:szCs w:val="28"/>
          <w:lang w:eastAsia="el-GR"/>
        </w:rPr>
      </w:pPr>
    </w:p>
    <w:p w14:paraId="7708A69F" w14:textId="77777777" w:rsidR="00735AAC" w:rsidRPr="00C261A7" w:rsidRDefault="00735AAC" w:rsidP="00D76190">
      <w:pPr>
        <w:spacing w:after="0" w:line="360" w:lineRule="auto"/>
        <w:jc w:val="both"/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Η θεραπεία του Σακχαρώδ</w:t>
      </w:r>
      <w:r w:rsidR="00011FC0"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>ους</w:t>
      </w:r>
      <w:r w:rsidRPr="00C261A7">
        <w:rPr>
          <w:rFonts w:eastAsiaTheme="minorEastAsia" w:cstheme="minorHAnsi"/>
          <w:b/>
          <w:bCs/>
          <w:kern w:val="24"/>
          <w:sz w:val="28"/>
          <w:szCs w:val="28"/>
          <w:lang w:eastAsia="el-GR"/>
        </w:rPr>
        <w:t xml:space="preserve"> Διαβήτη</w:t>
      </w:r>
    </w:p>
    <w:p w14:paraId="21ED293C" w14:textId="77777777" w:rsidR="00735AAC" w:rsidRPr="00C261A7" w:rsidRDefault="00735AAC" w:rsidP="00D76190">
      <w:pPr>
        <w:spacing w:after="0" w:line="360" w:lineRule="auto"/>
        <w:jc w:val="both"/>
        <w:rPr>
          <w:rFonts w:eastAsiaTheme="minorEastAsia" w:cstheme="minorHAnsi"/>
          <w:kern w:val="24"/>
          <w:sz w:val="28"/>
          <w:szCs w:val="28"/>
          <w:lang w:eastAsia="el-GR"/>
        </w:rPr>
      </w:pP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Η θεραπεία του Σακχαρώδ</w:t>
      </w:r>
      <w:r w:rsidR="001F2649" w:rsidRPr="00C261A7">
        <w:rPr>
          <w:rFonts w:eastAsiaTheme="minorEastAsia" w:cstheme="minorHAnsi"/>
          <w:kern w:val="24"/>
          <w:sz w:val="28"/>
          <w:szCs w:val="28"/>
          <w:lang w:eastAsia="el-GR"/>
        </w:rPr>
        <w:t>ους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Διαβήτη </w:t>
      </w:r>
      <w:r w:rsidR="00F606D3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στηρίζεται αφενός </w:t>
      </w:r>
      <w:r w:rsidR="001F2649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μεν </w:t>
      </w:r>
      <w:r w:rsidR="00F606D3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σε αλλαγή του τρόπου ζωής αφετέρου </w:t>
      </w:r>
      <w:r w:rsidR="001F2649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δε </w:t>
      </w:r>
      <w:r w:rsidR="00F606D3" w:rsidRPr="00C261A7">
        <w:rPr>
          <w:rFonts w:eastAsiaTheme="minorEastAsia" w:cstheme="minorHAnsi"/>
          <w:kern w:val="24"/>
          <w:sz w:val="28"/>
          <w:szCs w:val="28"/>
          <w:lang w:eastAsia="el-GR"/>
        </w:rPr>
        <w:t>σε κατάλληλα φάρμακα</w:t>
      </w:r>
      <w:r w:rsidRPr="00C261A7">
        <w:rPr>
          <w:rFonts w:eastAsiaTheme="minorEastAsia" w:cstheme="minorHAnsi"/>
          <w:kern w:val="24"/>
          <w:sz w:val="28"/>
          <w:szCs w:val="28"/>
          <w:lang w:eastAsia="el-GR"/>
        </w:rPr>
        <w:t>. Έχει ως στόχο τη ρύθμιση του μεταβολισμού και του Σακχάρου αίματος ώστε να αποφευχθούν οι επιπλοκές και κυρίως οι καρδιαγγειακές εκδηλώσεις. Η σωστή ρύθμιση του Σακχάρου αίματος μειώνει σημαντικά τις επιπλοκές. Η υγεία της καρδιάς και ο σωστός έλεγχος για την πρώιμη ανίχνευση καρδιαγγειακών επιπλοκών είναι απαραίτητος.</w:t>
      </w:r>
      <w:r w:rsidR="00A91F16" w:rsidRPr="00C261A7">
        <w:rPr>
          <w:rFonts w:eastAsiaTheme="minorEastAsia" w:cstheme="minorHAnsi"/>
          <w:kern w:val="24"/>
          <w:sz w:val="28"/>
          <w:szCs w:val="28"/>
          <w:lang w:eastAsia="el-GR"/>
        </w:rPr>
        <w:t xml:space="preserve"> Για αυτό:</w:t>
      </w:r>
    </w:p>
    <w:p w14:paraId="2253A5DC" w14:textId="77777777" w:rsidR="002311FC" w:rsidRDefault="002311FC" w:rsidP="00A91F16">
      <w:pPr>
        <w:jc w:val="center"/>
        <w:rPr>
          <w:rFonts w:cstheme="minorHAnsi"/>
          <w:b/>
          <w:bCs/>
          <w:sz w:val="28"/>
          <w:szCs w:val="28"/>
        </w:rPr>
      </w:pPr>
    </w:p>
    <w:p w14:paraId="7E0EB233" w14:textId="77777777" w:rsidR="00A91F16" w:rsidRPr="00C261A7" w:rsidRDefault="00A91F16" w:rsidP="00A91F16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ΖΗΣΕ ΚΑΛΑ ΜΕ ΤΟΝ ΣΑΚΧΑΡΩΔΗ ΔΙΑΒΗΤΗ </w:t>
      </w:r>
    </w:p>
    <w:p w14:paraId="14D74118" w14:textId="77777777" w:rsidR="00A91F16" w:rsidRPr="00C261A7" w:rsidRDefault="00A91F16" w:rsidP="00A91F16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>ΑΠ</w:t>
      </w:r>
      <w:r w:rsidR="00F606D3" w:rsidRPr="00C261A7">
        <w:rPr>
          <w:rFonts w:cstheme="minorHAnsi"/>
          <w:b/>
          <w:bCs/>
          <w:sz w:val="28"/>
          <w:szCs w:val="28"/>
        </w:rPr>
        <w:t>Ο</w:t>
      </w:r>
      <w:r w:rsidRPr="00C261A7">
        <w:rPr>
          <w:rFonts w:cstheme="minorHAnsi"/>
          <w:b/>
          <w:bCs/>
          <w:sz w:val="28"/>
          <w:szCs w:val="28"/>
        </w:rPr>
        <w:t>ΦΥΓΕ ΤΙΣ ΕΠΙΠΛΟΚΕΣ</w:t>
      </w:r>
    </w:p>
    <w:p w14:paraId="20E90538" w14:textId="77777777" w:rsidR="002311FC" w:rsidRDefault="00A91F16" w:rsidP="00A91F16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ΕΠΙΣΚΕΨΟΥ ΤΟΝ </w:t>
      </w:r>
      <w:r w:rsidR="00E1236A" w:rsidRPr="00C261A7">
        <w:rPr>
          <w:rFonts w:cstheme="minorHAnsi"/>
          <w:b/>
          <w:bCs/>
          <w:sz w:val="28"/>
          <w:szCs w:val="28"/>
        </w:rPr>
        <w:t>ΘΕΡΑΠΟΝΤΑ ΙΑΤΡΟ</w:t>
      </w:r>
      <w:r w:rsidRPr="00C261A7">
        <w:rPr>
          <w:rFonts w:cstheme="minorHAnsi"/>
          <w:b/>
          <w:bCs/>
          <w:sz w:val="28"/>
          <w:szCs w:val="28"/>
        </w:rPr>
        <w:t xml:space="preserve"> ΚΑΙ ΤΟΝ ΚΑΡΔΙΟΛΟΓΟ ΣΟΥ</w:t>
      </w:r>
    </w:p>
    <w:p w14:paraId="267A0478" w14:textId="77777777" w:rsidR="00A91F16" w:rsidRPr="00C261A7" w:rsidRDefault="00A91F16" w:rsidP="00A91F16">
      <w:pPr>
        <w:jc w:val="center"/>
        <w:rPr>
          <w:rFonts w:cstheme="minorHAnsi"/>
          <w:b/>
          <w:bCs/>
          <w:sz w:val="28"/>
          <w:szCs w:val="28"/>
        </w:rPr>
      </w:pPr>
      <w:r w:rsidRPr="00C261A7">
        <w:rPr>
          <w:rFonts w:cstheme="minorHAnsi"/>
          <w:b/>
          <w:bCs/>
          <w:sz w:val="28"/>
          <w:szCs w:val="28"/>
        </w:rPr>
        <w:t xml:space="preserve"> </w:t>
      </w:r>
    </w:p>
    <w:p w14:paraId="320A423E" w14:textId="77777777" w:rsidR="00A60022" w:rsidRPr="00C261A7" w:rsidRDefault="00A60022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Ρύθμισε το σάκχαρ</w:t>
      </w:r>
      <w:r w:rsidR="00F606D3" w:rsidRPr="00C261A7">
        <w:rPr>
          <w:rFonts w:cstheme="minorHAnsi"/>
          <w:sz w:val="28"/>
          <w:szCs w:val="28"/>
        </w:rPr>
        <w:t>ό</w:t>
      </w:r>
      <w:r w:rsidRPr="00C261A7">
        <w:rPr>
          <w:rFonts w:cstheme="minorHAnsi"/>
          <w:sz w:val="28"/>
          <w:szCs w:val="28"/>
        </w:rPr>
        <w:t xml:space="preserve"> σου</w:t>
      </w:r>
    </w:p>
    <w:p w14:paraId="4E9C0569" w14:textId="77777777" w:rsidR="0086083C" w:rsidRPr="00C261A7" w:rsidRDefault="004219F3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Φρόντισε </w:t>
      </w:r>
      <w:r w:rsidR="0086083C" w:rsidRPr="00C261A7">
        <w:rPr>
          <w:rFonts w:cstheme="minorHAnsi"/>
          <w:sz w:val="28"/>
          <w:szCs w:val="28"/>
        </w:rPr>
        <w:t xml:space="preserve">το </w:t>
      </w:r>
      <w:r w:rsidR="000B7A1B" w:rsidRPr="00C261A7">
        <w:rPr>
          <w:rFonts w:cstheme="minorHAnsi"/>
          <w:sz w:val="28"/>
          <w:szCs w:val="28"/>
        </w:rPr>
        <w:t xml:space="preserve">σωματικό σου </w:t>
      </w:r>
      <w:r w:rsidR="0086083C" w:rsidRPr="00C261A7">
        <w:rPr>
          <w:rFonts w:cstheme="minorHAnsi"/>
          <w:sz w:val="28"/>
          <w:szCs w:val="28"/>
        </w:rPr>
        <w:t xml:space="preserve">βάρος </w:t>
      </w:r>
      <w:r w:rsidRPr="00C261A7">
        <w:rPr>
          <w:rFonts w:cstheme="minorHAnsi"/>
          <w:sz w:val="28"/>
          <w:szCs w:val="28"/>
        </w:rPr>
        <w:t xml:space="preserve">να είναι ιδανικό </w:t>
      </w:r>
    </w:p>
    <w:p w14:paraId="52887286" w14:textId="77777777" w:rsidR="004219F3" w:rsidRPr="00C261A7" w:rsidRDefault="004219F3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>Δι</w:t>
      </w:r>
      <w:r w:rsidR="00F606D3" w:rsidRPr="00C261A7">
        <w:rPr>
          <w:rFonts w:cstheme="minorHAnsi"/>
          <w:sz w:val="28"/>
          <w:szCs w:val="28"/>
        </w:rPr>
        <w:t>ά</w:t>
      </w:r>
      <w:r w:rsidRPr="00C261A7">
        <w:rPr>
          <w:rFonts w:cstheme="minorHAnsi"/>
          <w:sz w:val="28"/>
          <w:szCs w:val="28"/>
        </w:rPr>
        <w:t xml:space="preserve">κοψε το κάπνισμα </w:t>
      </w:r>
    </w:p>
    <w:p w14:paraId="579E4F4D" w14:textId="77777777" w:rsidR="004219F3" w:rsidRPr="00C261A7" w:rsidRDefault="004219F3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Θρέψου σωστά </w:t>
      </w:r>
    </w:p>
    <w:p w14:paraId="6F5527E5" w14:textId="77777777" w:rsidR="0086083C" w:rsidRPr="00C261A7" w:rsidRDefault="004219F3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Περπάτα καθημερινά για τουλάχιστον 30 λεπτά </w:t>
      </w:r>
    </w:p>
    <w:p w14:paraId="30E85DC0" w14:textId="77777777" w:rsidR="004219F3" w:rsidRPr="00C261A7" w:rsidRDefault="004219F3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Μέτρα την αρτηριακή σου πίεση </w:t>
      </w:r>
      <w:r w:rsidR="00680ABD" w:rsidRPr="00C261A7">
        <w:rPr>
          <w:rFonts w:cstheme="minorHAnsi"/>
          <w:sz w:val="28"/>
          <w:szCs w:val="28"/>
        </w:rPr>
        <w:t xml:space="preserve">και </w:t>
      </w:r>
      <w:r w:rsidR="00A60022" w:rsidRPr="00C261A7">
        <w:rPr>
          <w:rFonts w:cstheme="minorHAnsi"/>
          <w:sz w:val="28"/>
          <w:szCs w:val="28"/>
        </w:rPr>
        <w:t>ρύθμισ</w:t>
      </w:r>
      <w:r w:rsidR="00F606D3" w:rsidRPr="00C261A7">
        <w:rPr>
          <w:rFonts w:cstheme="minorHAnsi"/>
          <w:sz w:val="28"/>
          <w:szCs w:val="28"/>
        </w:rPr>
        <w:t>έ</w:t>
      </w:r>
      <w:r w:rsidR="00A60022" w:rsidRPr="00C261A7">
        <w:rPr>
          <w:rFonts w:cstheme="minorHAnsi"/>
          <w:sz w:val="28"/>
          <w:szCs w:val="28"/>
        </w:rPr>
        <w:t xml:space="preserve"> την </w:t>
      </w:r>
    </w:p>
    <w:p w14:paraId="5D615568" w14:textId="77777777" w:rsidR="0086083C" w:rsidRPr="00C261A7" w:rsidRDefault="0086083C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C261A7">
        <w:rPr>
          <w:rFonts w:cstheme="minorHAnsi"/>
          <w:sz w:val="28"/>
          <w:szCs w:val="28"/>
        </w:rPr>
        <w:t xml:space="preserve">Έλεγξε </w:t>
      </w:r>
      <w:r w:rsidR="00F606D3" w:rsidRPr="00C261A7">
        <w:rPr>
          <w:rFonts w:cstheme="minorHAnsi"/>
          <w:sz w:val="28"/>
          <w:szCs w:val="28"/>
        </w:rPr>
        <w:t>τη</w:t>
      </w:r>
      <w:r w:rsidRPr="00C261A7">
        <w:rPr>
          <w:rFonts w:cstheme="minorHAnsi"/>
          <w:sz w:val="28"/>
          <w:szCs w:val="28"/>
        </w:rPr>
        <w:t xml:space="preserve"> χοληστερίνη σου</w:t>
      </w:r>
    </w:p>
    <w:p w14:paraId="7A165BA2" w14:textId="77777777" w:rsidR="0086083C" w:rsidRPr="00C261A7" w:rsidRDefault="0086083C" w:rsidP="00DE564A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t xml:space="preserve">Επισκέψου τον </w:t>
      </w:r>
      <w:r w:rsidR="004219F3" w:rsidRPr="00C261A7">
        <w:rPr>
          <w:rFonts w:cstheme="minorHAnsi"/>
          <w:sz w:val="28"/>
          <w:szCs w:val="28"/>
        </w:rPr>
        <w:t>Θ</w:t>
      </w:r>
      <w:r w:rsidRPr="00C261A7">
        <w:rPr>
          <w:rFonts w:cstheme="minorHAnsi"/>
          <w:sz w:val="28"/>
          <w:szCs w:val="28"/>
        </w:rPr>
        <w:t xml:space="preserve">εράποντα </w:t>
      </w:r>
      <w:r w:rsidR="004219F3" w:rsidRPr="00C261A7">
        <w:rPr>
          <w:rFonts w:cstheme="minorHAnsi"/>
          <w:sz w:val="28"/>
          <w:szCs w:val="28"/>
        </w:rPr>
        <w:t>Ι</w:t>
      </w:r>
      <w:r w:rsidRPr="00C261A7">
        <w:rPr>
          <w:rFonts w:cstheme="minorHAnsi"/>
          <w:sz w:val="28"/>
          <w:szCs w:val="28"/>
        </w:rPr>
        <w:t>ατρό σου τακτικά</w:t>
      </w:r>
    </w:p>
    <w:p w14:paraId="46C6426C" w14:textId="77777777" w:rsidR="0072047C" w:rsidRPr="00C261A7" w:rsidRDefault="00A60022" w:rsidP="0072047C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261A7">
        <w:rPr>
          <w:rFonts w:cstheme="minorHAnsi"/>
          <w:sz w:val="28"/>
          <w:szCs w:val="28"/>
        </w:rPr>
        <w:lastRenderedPageBreak/>
        <w:t xml:space="preserve">Λάβε </w:t>
      </w:r>
      <w:r w:rsidR="0086115B" w:rsidRPr="00C261A7">
        <w:rPr>
          <w:rFonts w:cstheme="minorHAnsi"/>
          <w:sz w:val="28"/>
          <w:szCs w:val="28"/>
        </w:rPr>
        <w:t xml:space="preserve">τα συνταγογραφούμενα φάρμακα σύμφωνα με τις </w:t>
      </w:r>
      <w:r w:rsidRPr="00C261A7">
        <w:rPr>
          <w:rFonts w:cstheme="minorHAnsi"/>
          <w:sz w:val="28"/>
          <w:szCs w:val="28"/>
        </w:rPr>
        <w:t xml:space="preserve">ιατρικές </w:t>
      </w:r>
      <w:r w:rsidR="0086115B" w:rsidRPr="00C261A7">
        <w:rPr>
          <w:rFonts w:cstheme="minorHAnsi"/>
          <w:sz w:val="28"/>
          <w:szCs w:val="28"/>
        </w:rPr>
        <w:t>οδηγίες</w:t>
      </w:r>
    </w:p>
    <w:p w14:paraId="3EEF0AB7" w14:textId="4971246A" w:rsidR="00CB1210" w:rsidRPr="00C261A7" w:rsidRDefault="006E3673" w:rsidP="00CB121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3235" wp14:editId="1C4CCD6A">
                <wp:simplePos x="0" y="0"/>
                <wp:positionH relativeFrom="column">
                  <wp:posOffset>-750570</wp:posOffset>
                </wp:positionH>
                <wp:positionV relativeFrom="paragraph">
                  <wp:posOffset>491490</wp:posOffset>
                </wp:positionV>
                <wp:extent cx="600075" cy="1844675"/>
                <wp:effectExtent l="19050" t="0" r="28575" b="22225"/>
                <wp:wrapNone/>
                <wp:docPr id="2" name="Βέλος: Κάτω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8446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25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2" o:spid="_x0000_s1026" type="#_x0000_t67" style="position:absolute;margin-left:-59.1pt;margin-top:38.7pt;width:47.25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" adj="18087" fillcolor="red" strokecolor="#1f3763 [1604]" strokeweight="1pt">
                <v:fill color2="#c7d4ed [980]" colors="0 red;48497f #abc0e4;56361f #abc0e4;1 #c7d5ed" focus="100%" type="gradient"/>
                <v:path arrowok="t"/>
              </v:shape>
            </w:pict>
          </mc:Fallback>
        </mc:AlternateContent>
      </w:r>
    </w:p>
    <w:tbl>
      <w:tblPr>
        <w:tblW w:w="90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8"/>
        <w:gridCol w:w="2142"/>
        <w:gridCol w:w="1747"/>
        <w:gridCol w:w="1747"/>
        <w:gridCol w:w="1777"/>
      </w:tblGrid>
      <w:tr w:rsidR="008D585A" w:rsidRPr="00C261A7" w14:paraId="4E19A50F" w14:textId="77777777" w:rsidTr="008D585A">
        <w:trPr>
          <w:trHeight w:val="609"/>
        </w:trPr>
        <w:tc>
          <w:tcPr>
            <w:tcW w:w="17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5B0B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7AF461" w14:textId="77777777" w:rsidR="008D585A" w:rsidRPr="00C261A7" w:rsidRDefault="008D585A" w:rsidP="008D585A">
            <w:pPr>
              <w:spacing w:after="0" w:line="240" w:lineRule="auto"/>
              <w:textAlignment w:val="bottom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Αποτελέσματα</w:t>
            </w:r>
          </w:p>
        </w:tc>
        <w:tc>
          <w:tcPr>
            <w:tcW w:w="1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5B0B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EFE2EA4" w14:textId="77777777" w:rsidR="008D585A" w:rsidRPr="00C261A7" w:rsidRDefault="008D585A" w:rsidP="008D585A">
            <w:pPr>
              <w:spacing w:after="0" w:line="240" w:lineRule="auto"/>
              <w:textAlignment w:val="bottom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Γλυκοζυλιωμένη αιμοσφαιρίνη</w:t>
            </w:r>
          </w:p>
        </w:tc>
        <w:tc>
          <w:tcPr>
            <w:tcW w:w="15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5B0B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5017BB" w14:textId="77777777" w:rsidR="008D585A" w:rsidRPr="00C261A7" w:rsidRDefault="008D585A" w:rsidP="008D585A">
            <w:pPr>
              <w:spacing w:after="0" w:line="240" w:lineRule="auto"/>
              <w:textAlignment w:val="bottom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Γλυκόζη νηστείας</w:t>
            </w:r>
          </w:p>
        </w:tc>
        <w:tc>
          <w:tcPr>
            <w:tcW w:w="1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5B0B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AB25B9" w14:textId="77777777" w:rsidR="008D585A" w:rsidRPr="00C261A7" w:rsidRDefault="008D585A" w:rsidP="008D585A">
            <w:pPr>
              <w:spacing w:after="0" w:line="240" w:lineRule="auto"/>
              <w:textAlignment w:val="bottom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Δοκιμασία ανοχής γλυκόζης</w:t>
            </w:r>
            <w:r w:rsidR="006278E3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 (σάκχαρο στις 2 ώρες)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5B0B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D2D3F1" w14:textId="77777777" w:rsidR="008D585A" w:rsidRPr="00C261A7" w:rsidRDefault="008D585A" w:rsidP="008D585A">
            <w:pPr>
              <w:spacing w:after="0" w:line="240" w:lineRule="auto"/>
              <w:textAlignment w:val="bottom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Τυχαία μέτρηση αίματος</w:t>
            </w:r>
            <w:r w:rsidR="006278E3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 (με συμπτώματα συμβατά με διαβήτη)</w:t>
            </w:r>
          </w:p>
        </w:tc>
      </w:tr>
      <w:tr w:rsidR="008D585A" w:rsidRPr="00C261A7" w14:paraId="612F8DC2" w14:textId="77777777" w:rsidTr="008D585A">
        <w:trPr>
          <w:trHeight w:val="925"/>
        </w:trPr>
        <w:tc>
          <w:tcPr>
            <w:tcW w:w="17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E087D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Σακχαρώδης Διαβήτης</w:t>
            </w:r>
          </w:p>
        </w:tc>
        <w:tc>
          <w:tcPr>
            <w:tcW w:w="1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88DAA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Μεγαλύτερη ή ίση με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6</w:t>
            </w:r>
            <w:r w:rsidR="001F2649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,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5%</w:t>
            </w:r>
          </w:p>
        </w:tc>
        <w:tc>
          <w:tcPr>
            <w:tcW w:w="15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F559A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Μεγαλύτερη ή ίση με 126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mg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/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dL</w:t>
            </w:r>
          </w:p>
        </w:tc>
        <w:tc>
          <w:tcPr>
            <w:tcW w:w="1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3BA2D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Μεγαλύτερη ή ίση με 200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mg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/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dL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A4A42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Μεγαλύτερη ή ίση με 200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mg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/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dL</w:t>
            </w:r>
          </w:p>
        </w:tc>
      </w:tr>
      <w:tr w:rsidR="008D585A" w:rsidRPr="00C261A7" w14:paraId="105F8E6F" w14:textId="77777777" w:rsidTr="008D585A">
        <w:trPr>
          <w:trHeight w:val="609"/>
        </w:trPr>
        <w:tc>
          <w:tcPr>
            <w:tcW w:w="17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E25C3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Προδιαβήτης</w:t>
            </w:r>
          </w:p>
        </w:tc>
        <w:tc>
          <w:tcPr>
            <w:tcW w:w="1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BA552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5</w:t>
            </w:r>
            <w:r w:rsidR="001F2649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,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7 – 6</w:t>
            </w:r>
            <w:r w:rsidR="001F2649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,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4%</w:t>
            </w:r>
          </w:p>
        </w:tc>
        <w:tc>
          <w:tcPr>
            <w:tcW w:w="15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221D0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100 – 125 mg/dL</w:t>
            </w:r>
          </w:p>
        </w:tc>
        <w:tc>
          <w:tcPr>
            <w:tcW w:w="1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81F66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140 – 199 mg/dL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9690A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 N/A</w:t>
            </w:r>
          </w:p>
        </w:tc>
      </w:tr>
      <w:tr w:rsidR="008D585A" w:rsidRPr="00C261A7" w14:paraId="650992F6" w14:textId="77777777" w:rsidTr="008D585A">
        <w:trPr>
          <w:trHeight w:val="609"/>
        </w:trPr>
        <w:tc>
          <w:tcPr>
            <w:tcW w:w="17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7FE15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Φυσιολογικές τιμές</w:t>
            </w:r>
          </w:p>
        </w:tc>
        <w:tc>
          <w:tcPr>
            <w:tcW w:w="18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B4997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Κάτω από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 xml:space="preserve"> 5</w:t>
            </w:r>
            <w:r w:rsidR="001F2649"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>,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7%</w:t>
            </w:r>
          </w:p>
        </w:tc>
        <w:tc>
          <w:tcPr>
            <w:tcW w:w="15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2F726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Κάτω από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99 mg/dL</w:t>
            </w:r>
          </w:p>
        </w:tc>
        <w:tc>
          <w:tcPr>
            <w:tcW w:w="1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07014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eastAsia="el-GR"/>
              </w:rPr>
              <w:t xml:space="preserve">Κάτω από </w:t>
            </w: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140 mg/dL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89219" w14:textId="77777777" w:rsidR="008D585A" w:rsidRPr="00C261A7" w:rsidRDefault="008D585A" w:rsidP="008D585A">
            <w:pPr>
              <w:spacing w:after="0" w:line="240" w:lineRule="auto"/>
              <w:textAlignment w:val="top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C261A7">
              <w:rPr>
                <w:rFonts w:eastAsia="Times New Roman" w:cstheme="minorHAnsi"/>
                <w:kern w:val="24"/>
                <w:sz w:val="28"/>
                <w:szCs w:val="28"/>
                <w:lang w:val="en-US" w:eastAsia="el-GR"/>
              </w:rPr>
              <w:t> N/A</w:t>
            </w:r>
          </w:p>
        </w:tc>
      </w:tr>
    </w:tbl>
    <w:p w14:paraId="3B57C4F4" w14:textId="77777777" w:rsidR="008F5653" w:rsidRPr="00C261A7" w:rsidRDefault="008F5653" w:rsidP="00A91F16">
      <w:pPr>
        <w:rPr>
          <w:rFonts w:cstheme="minorHAnsi"/>
          <w:b/>
          <w:bCs/>
          <w:sz w:val="28"/>
          <w:szCs w:val="28"/>
        </w:rPr>
      </w:pPr>
    </w:p>
    <w:p w14:paraId="312B9976" w14:textId="77777777" w:rsidR="00A91F16" w:rsidRPr="00E93DB2" w:rsidRDefault="005F471E" w:rsidP="00BD5410">
      <w:pPr>
        <w:jc w:val="both"/>
        <w:rPr>
          <w:rFonts w:cstheme="minorHAnsi"/>
          <w:b/>
          <w:sz w:val="28"/>
          <w:szCs w:val="28"/>
        </w:rPr>
      </w:pPr>
      <w:r w:rsidRPr="00E93DB2">
        <w:rPr>
          <w:rFonts w:cstheme="minorHAnsi"/>
          <w:b/>
          <w:sz w:val="28"/>
          <w:szCs w:val="28"/>
        </w:rPr>
        <w:t xml:space="preserve">Στο πλαίσιο </w:t>
      </w:r>
      <w:r w:rsidR="00A91F16" w:rsidRPr="00E93DB2">
        <w:rPr>
          <w:rFonts w:cstheme="minorHAnsi"/>
          <w:b/>
          <w:sz w:val="28"/>
          <w:szCs w:val="28"/>
        </w:rPr>
        <w:t>της Παγκόσμιας Ημέρας Διαβήτη 2022</w:t>
      </w:r>
      <w:r w:rsidR="002311FC" w:rsidRPr="00E93DB2">
        <w:rPr>
          <w:rFonts w:cstheme="minorHAnsi"/>
          <w:b/>
          <w:sz w:val="28"/>
          <w:szCs w:val="28"/>
        </w:rPr>
        <w:t>,</w:t>
      </w:r>
      <w:r w:rsidR="00A91F16" w:rsidRPr="00E93DB2">
        <w:rPr>
          <w:rFonts w:cstheme="minorHAnsi"/>
          <w:b/>
          <w:sz w:val="28"/>
          <w:szCs w:val="28"/>
        </w:rPr>
        <w:t xml:space="preserve"> στην κοινή προσπάθεια ενημέρωσης και ευαισθητοποίησης για το σακχαρώδη διαβήτη</w:t>
      </w:r>
      <w:r w:rsidR="002311FC" w:rsidRPr="00E93DB2">
        <w:rPr>
          <w:rFonts w:cstheme="minorHAnsi"/>
          <w:b/>
          <w:sz w:val="28"/>
          <w:szCs w:val="28"/>
        </w:rPr>
        <w:t xml:space="preserve"> η Ελληνική Καρδιολογική Εταιρεία και η Ομάδα Εργασίας «Καρδιά και Διαβήτης» της ΕΚΕ, </w:t>
      </w:r>
      <w:r w:rsidR="00A91F16" w:rsidRPr="00E93DB2">
        <w:rPr>
          <w:rFonts w:cstheme="minorHAnsi"/>
          <w:b/>
          <w:sz w:val="28"/>
          <w:szCs w:val="28"/>
        </w:rPr>
        <w:t>σε συνεργασία με την Ελληνική Ενδοκρινολογική Εταιρεία και την Ελληνική Διαβητολογική Εταιρ</w:t>
      </w:r>
      <w:r w:rsidRPr="00E93DB2">
        <w:rPr>
          <w:rFonts w:cstheme="minorHAnsi"/>
          <w:b/>
          <w:sz w:val="28"/>
          <w:szCs w:val="28"/>
        </w:rPr>
        <w:t xml:space="preserve">εία, με </w:t>
      </w:r>
      <w:r w:rsidR="00E93DB2">
        <w:rPr>
          <w:rFonts w:cstheme="minorHAnsi"/>
          <w:b/>
          <w:sz w:val="28"/>
          <w:szCs w:val="28"/>
        </w:rPr>
        <w:t>Π</w:t>
      </w:r>
      <w:r w:rsidRPr="00E93DB2">
        <w:rPr>
          <w:rFonts w:cstheme="minorHAnsi"/>
          <w:b/>
          <w:sz w:val="28"/>
          <w:szCs w:val="28"/>
        </w:rPr>
        <w:t>ερίπτερο που θ</w:t>
      </w:r>
      <w:r w:rsidR="00E93DB2">
        <w:rPr>
          <w:rFonts w:cstheme="minorHAnsi"/>
          <w:b/>
          <w:sz w:val="28"/>
          <w:szCs w:val="28"/>
        </w:rPr>
        <w:t>α στηθεί στον αύλειο χώρο του Ζαππείου</w:t>
      </w:r>
      <w:r w:rsidRPr="00E93DB2">
        <w:rPr>
          <w:rFonts w:cstheme="minorHAnsi"/>
          <w:b/>
          <w:sz w:val="28"/>
          <w:szCs w:val="28"/>
        </w:rPr>
        <w:t>, θα ενημερώσουν</w:t>
      </w:r>
      <w:r w:rsidR="00A91F16" w:rsidRPr="00E93DB2">
        <w:rPr>
          <w:rFonts w:cstheme="minorHAnsi"/>
          <w:b/>
          <w:sz w:val="28"/>
          <w:szCs w:val="28"/>
        </w:rPr>
        <w:t xml:space="preserve"> και </w:t>
      </w:r>
      <w:r w:rsidRPr="00E93DB2">
        <w:rPr>
          <w:rFonts w:cstheme="minorHAnsi"/>
          <w:b/>
          <w:sz w:val="28"/>
          <w:szCs w:val="28"/>
        </w:rPr>
        <w:t>ευαισθητοποιήσουν το κοινό για τον Σακχαρώδη Διαβήτη</w:t>
      </w:r>
      <w:r w:rsidR="00A91F16" w:rsidRPr="00E93DB2">
        <w:rPr>
          <w:rFonts w:cstheme="minorHAnsi"/>
          <w:b/>
          <w:sz w:val="28"/>
          <w:szCs w:val="28"/>
        </w:rPr>
        <w:t xml:space="preserve">, </w:t>
      </w:r>
      <w:r w:rsidR="00F606D3" w:rsidRPr="00E93DB2">
        <w:rPr>
          <w:rFonts w:cstheme="minorHAnsi"/>
          <w:b/>
          <w:sz w:val="28"/>
          <w:szCs w:val="28"/>
        </w:rPr>
        <w:t>τη</w:t>
      </w:r>
      <w:r w:rsidRPr="00E93DB2">
        <w:rPr>
          <w:rFonts w:cstheme="minorHAnsi"/>
          <w:b/>
          <w:sz w:val="28"/>
          <w:szCs w:val="28"/>
        </w:rPr>
        <w:t xml:space="preserve"> Δευτέρα 14 Νοεμβρίου 2022</w:t>
      </w:r>
      <w:r w:rsidR="002311FC" w:rsidRPr="00E93DB2">
        <w:rPr>
          <w:rFonts w:cstheme="minorHAnsi"/>
          <w:b/>
          <w:sz w:val="28"/>
          <w:szCs w:val="28"/>
        </w:rPr>
        <w:t>, ώρες 09.00-15.00</w:t>
      </w:r>
      <w:r w:rsidR="00A91F16" w:rsidRPr="00E93DB2">
        <w:rPr>
          <w:rFonts w:cstheme="minorHAnsi"/>
          <w:b/>
          <w:sz w:val="28"/>
          <w:szCs w:val="28"/>
        </w:rPr>
        <w:t>.</w:t>
      </w:r>
    </w:p>
    <w:sectPr w:rsidR="00A91F16" w:rsidRPr="00E93DB2" w:rsidSect="009E3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2D9"/>
    <w:multiLevelType w:val="hybridMultilevel"/>
    <w:tmpl w:val="A5A67506"/>
    <w:lvl w:ilvl="0" w:tplc="0408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7" w:hanging="360"/>
      </w:pPr>
      <w:rPr>
        <w:rFonts w:ascii="Wingdings" w:hAnsi="Wingdings" w:hint="default"/>
      </w:rPr>
    </w:lvl>
  </w:abstractNum>
  <w:abstractNum w:abstractNumId="1" w15:restartNumberingAfterBreak="0">
    <w:nsid w:val="1A002228"/>
    <w:multiLevelType w:val="hybridMultilevel"/>
    <w:tmpl w:val="2F3A0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F15"/>
    <w:multiLevelType w:val="hybridMultilevel"/>
    <w:tmpl w:val="D444E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A48"/>
    <w:multiLevelType w:val="hybridMultilevel"/>
    <w:tmpl w:val="E4A08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6FA0"/>
    <w:multiLevelType w:val="hybridMultilevel"/>
    <w:tmpl w:val="484CE1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21D8"/>
    <w:multiLevelType w:val="hybridMultilevel"/>
    <w:tmpl w:val="0FD83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422B"/>
    <w:multiLevelType w:val="hybridMultilevel"/>
    <w:tmpl w:val="87DA3472"/>
    <w:lvl w:ilvl="0" w:tplc="236EA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2" w:tplc="4D066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4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F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2A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4A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5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6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F"/>
    <w:rsid w:val="00011FC0"/>
    <w:rsid w:val="00031E1D"/>
    <w:rsid w:val="00034782"/>
    <w:rsid w:val="00071B92"/>
    <w:rsid w:val="000B7A1B"/>
    <w:rsid w:val="000C7F08"/>
    <w:rsid w:val="001C700F"/>
    <w:rsid w:val="001D2CEC"/>
    <w:rsid w:val="001F2649"/>
    <w:rsid w:val="002311FC"/>
    <w:rsid w:val="00253424"/>
    <w:rsid w:val="00263978"/>
    <w:rsid w:val="00291871"/>
    <w:rsid w:val="002C49CA"/>
    <w:rsid w:val="002E26E3"/>
    <w:rsid w:val="00305CAF"/>
    <w:rsid w:val="003256F7"/>
    <w:rsid w:val="003979FE"/>
    <w:rsid w:val="003C3771"/>
    <w:rsid w:val="0041174B"/>
    <w:rsid w:val="004219F3"/>
    <w:rsid w:val="004460AB"/>
    <w:rsid w:val="0046468F"/>
    <w:rsid w:val="004835BA"/>
    <w:rsid w:val="004A5ABA"/>
    <w:rsid w:val="004D6F1F"/>
    <w:rsid w:val="004F05EF"/>
    <w:rsid w:val="00507F8E"/>
    <w:rsid w:val="005523EF"/>
    <w:rsid w:val="00582C6D"/>
    <w:rsid w:val="005F471E"/>
    <w:rsid w:val="00602B0B"/>
    <w:rsid w:val="006278E3"/>
    <w:rsid w:val="00670610"/>
    <w:rsid w:val="00680ABD"/>
    <w:rsid w:val="006E3673"/>
    <w:rsid w:val="00713816"/>
    <w:rsid w:val="00716982"/>
    <w:rsid w:val="0072047C"/>
    <w:rsid w:val="00735AAC"/>
    <w:rsid w:val="00794834"/>
    <w:rsid w:val="007D563F"/>
    <w:rsid w:val="00810092"/>
    <w:rsid w:val="0086083C"/>
    <w:rsid w:val="0086115B"/>
    <w:rsid w:val="0087161A"/>
    <w:rsid w:val="008C37ED"/>
    <w:rsid w:val="008D585A"/>
    <w:rsid w:val="008D675C"/>
    <w:rsid w:val="008F5653"/>
    <w:rsid w:val="00923EFA"/>
    <w:rsid w:val="009E39EF"/>
    <w:rsid w:val="00A03622"/>
    <w:rsid w:val="00A03F38"/>
    <w:rsid w:val="00A13BFF"/>
    <w:rsid w:val="00A14D45"/>
    <w:rsid w:val="00A60022"/>
    <w:rsid w:val="00A756C9"/>
    <w:rsid w:val="00A91F16"/>
    <w:rsid w:val="00AA06B5"/>
    <w:rsid w:val="00AA6132"/>
    <w:rsid w:val="00B30CBC"/>
    <w:rsid w:val="00B426EA"/>
    <w:rsid w:val="00B428A9"/>
    <w:rsid w:val="00B60BE6"/>
    <w:rsid w:val="00B81111"/>
    <w:rsid w:val="00BD5410"/>
    <w:rsid w:val="00C0714A"/>
    <w:rsid w:val="00C261A7"/>
    <w:rsid w:val="00C32BCD"/>
    <w:rsid w:val="00C50A48"/>
    <w:rsid w:val="00C970D5"/>
    <w:rsid w:val="00CA0D67"/>
    <w:rsid w:val="00CB1210"/>
    <w:rsid w:val="00D236EE"/>
    <w:rsid w:val="00D304C1"/>
    <w:rsid w:val="00D362B8"/>
    <w:rsid w:val="00D674D5"/>
    <w:rsid w:val="00D76190"/>
    <w:rsid w:val="00DE564A"/>
    <w:rsid w:val="00E1236A"/>
    <w:rsid w:val="00E26FB7"/>
    <w:rsid w:val="00E93DB2"/>
    <w:rsid w:val="00ED409F"/>
    <w:rsid w:val="00F05159"/>
    <w:rsid w:val="00F145B2"/>
    <w:rsid w:val="00F606D3"/>
    <w:rsid w:val="00F70AA1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117082"/>
  <w15:docId w15:val="{A9251C2C-1FDF-4CB0-A435-2BA11EB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3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7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A14D4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14D4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14D4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14D4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14D45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A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A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Files\S0\4\Attachments\&#960;&#945;&#947;&#954;&#959;&#963;&#956;&#953;&#945;%20&#951;&#956;&#949;&#961;&#945;%20&#931;&#916;%20&#948;&#949;&#955;&#964;&#953;&#959;%20&#964;&#965;&#960;&#959;&#965;%20&#917;&#922;&#917;-&#917;&#916;&#917;-&#917;&#917;&#917;%20(&#922;&#924;)(2)(3)%5b6212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BC11-9C6F-40DF-9C38-2D69094A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παγκοσμια ημερα ΣΔ δελτιο τυπου ΕΚΕ-ΕΔΕ-ΕΕΕ (ΚΜ)(2)(3)[62121]</Template>
  <TotalTime>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Gerasimos Siasos</cp:lastModifiedBy>
  <cp:revision>2</cp:revision>
  <dcterms:created xsi:type="dcterms:W3CDTF">2022-11-11T14:14:00Z</dcterms:created>
  <dcterms:modified xsi:type="dcterms:W3CDTF">2022-11-11T14:14:00Z</dcterms:modified>
</cp:coreProperties>
</file>